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olor w:val="auto"/>
          <w:sz w:val="24"/>
          <w:u w:val="none" w:color="auto"/>
        </w:rPr>
      </w:pPr>
    </w:p>
    <w:p>
      <w:pPr>
        <w:spacing w:line="360" w:lineRule="auto"/>
        <w:jc w:val="center"/>
        <w:rPr>
          <w:rFonts w:ascii="宋体" w:hAnsi="宋体"/>
          <w:color w:val="auto"/>
          <w:sz w:val="24"/>
          <w:u w:val="none" w:color="auto"/>
        </w:rPr>
      </w:pPr>
    </w:p>
    <w:p>
      <w:pPr>
        <w:spacing w:line="360" w:lineRule="auto"/>
        <w:jc w:val="center"/>
        <w:rPr>
          <w:rFonts w:ascii="宋体" w:hAnsi="宋体"/>
          <w:color w:val="auto"/>
          <w:sz w:val="24"/>
          <w:u w:val="none" w:color="auto"/>
        </w:rPr>
      </w:pPr>
    </w:p>
    <w:p>
      <w:pPr>
        <w:spacing w:line="360" w:lineRule="auto"/>
        <w:jc w:val="center"/>
        <w:rPr>
          <w:rFonts w:ascii="宋体" w:hAnsi="宋体"/>
          <w:color w:val="auto"/>
          <w:sz w:val="24"/>
          <w:u w:val="none" w:color="auto"/>
        </w:rPr>
      </w:pPr>
    </w:p>
    <w:p>
      <w:pPr>
        <w:spacing w:line="360" w:lineRule="auto"/>
        <w:jc w:val="center"/>
        <w:rPr>
          <w:rFonts w:hint="eastAsia" w:ascii="方正小标宋简体" w:hAnsi="方正小标宋简体" w:eastAsia="方正小标宋简体" w:cs="方正小标宋简体"/>
          <w:b/>
          <w:bCs/>
          <w:color w:val="auto"/>
          <w:sz w:val="44"/>
          <w:szCs w:val="44"/>
          <w:u w:val="none" w:color="auto"/>
        </w:rPr>
      </w:pPr>
      <w:r>
        <w:rPr>
          <w:rFonts w:hint="eastAsia" w:ascii="方正小标宋简体" w:hAnsi="方正小标宋简体" w:eastAsia="方正小标宋简体" w:cs="方正小标宋简体"/>
          <w:b/>
          <w:bCs/>
          <w:color w:val="auto"/>
          <w:sz w:val="44"/>
          <w:szCs w:val="44"/>
          <w:u w:val="none" w:color="auto"/>
        </w:rPr>
        <w:t>2024年度内蒙古赤峰高新技术产业开发区</w:t>
      </w:r>
    </w:p>
    <w:p>
      <w:pPr>
        <w:spacing w:line="360" w:lineRule="auto"/>
        <w:jc w:val="center"/>
        <w:rPr>
          <w:rFonts w:hint="eastAsia" w:ascii="方正小标宋简体" w:hAnsi="方正小标宋简体" w:eastAsia="方正小标宋简体" w:cs="方正小标宋简体"/>
          <w:b/>
          <w:bCs/>
          <w:color w:val="auto"/>
          <w:sz w:val="44"/>
          <w:szCs w:val="44"/>
          <w:u w:val="none" w:color="auto"/>
          <w:lang w:eastAsia="zh-CN"/>
        </w:rPr>
      </w:pPr>
      <w:r>
        <w:rPr>
          <w:rFonts w:hint="eastAsia" w:ascii="方正小标宋简体" w:hAnsi="方正小标宋简体" w:eastAsia="方正小标宋简体" w:cs="方正小标宋简体"/>
          <w:b/>
          <w:bCs/>
          <w:color w:val="auto"/>
          <w:sz w:val="44"/>
          <w:szCs w:val="44"/>
          <w:u w:val="none" w:color="auto"/>
        </w:rPr>
        <w:t>管理委员会</w:t>
      </w:r>
      <w:r>
        <w:rPr>
          <w:rFonts w:hint="eastAsia" w:ascii="方正小标宋简体" w:hAnsi="方正小标宋简体" w:eastAsia="方正小标宋简体" w:cs="方正小标宋简体"/>
          <w:b/>
          <w:bCs/>
          <w:color w:val="auto"/>
          <w:sz w:val="44"/>
          <w:szCs w:val="44"/>
          <w:u w:val="none" w:color="auto"/>
          <w:lang w:eastAsia="zh-CN"/>
        </w:rPr>
        <w:t>部门决算公开</w:t>
      </w:r>
    </w:p>
    <w:p>
      <w:pPr>
        <w:spacing w:line="360" w:lineRule="auto"/>
        <w:jc w:val="center"/>
        <w:rPr>
          <w:rFonts w:ascii="宋体" w:hAnsi="宋体"/>
          <w:b/>
          <w:bCs/>
          <w:color w:val="auto"/>
          <w:sz w:val="52"/>
          <w:szCs w:val="52"/>
          <w:u w:val="none" w:color="auto"/>
        </w:rPr>
      </w:pPr>
    </w:p>
    <w:p>
      <w:pPr>
        <w:spacing w:line="360" w:lineRule="auto"/>
        <w:jc w:val="center"/>
        <w:rPr>
          <w:rFonts w:ascii="宋体" w:hAnsi="宋体"/>
          <w:b/>
          <w:bCs/>
          <w:color w:val="auto"/>
          <w:sz w:val="52"/>
          <w:szCs w:val="52"/>
          <w:u w:val="none" w:color="auto"/>
        </w:rPr>
      </w:pPr>
    </w:p>
    <w:p>
      <w:pPr>
        <w:pStyle w:val="2"/>
        <w:rPr>
          <w:rFonts w:ascii="宋体" w:hAnsi="宋体"/>
          <w:b/>
          <w:bCs/>
          <w:color w:val="auto"/>
          <w:sz w:val="52"/>
          <w:szCs w:val="52"/>
          <w:u w:val="none" w:color="auto"/>
        </w:rPr>
      </w:pPr>
    </w:p>
    <w:p>
      <w:pPr>
        <w:pStyle w:val="2"/>
        <w:rPr>
          <w:rFonts w:ascii="宋体" w:hAnsi="宋体"/>
          <w:b/>
          <w:bCs/>
          <w:color w:val="auto"/>
          <w:sz w:val="52"/>
          <w:szCs w:val="52"/>
          <w:u w:val="none" w:color="auto"/>
        </w:rPr>
      </w:pPr>
    </w:p>
    <w:p>
      <w:pPr>
        <w:pStyle w:val="2"/>
        <w:ind w:left="0" w:leftChars="0" w:firstLine="0" w:firstLineChars="0"/>
        <w:rPr>
          <w:rFonts w:ascii="宋体" w:hAnsi="宋体"/>
          <w:b/>
          <w:bCs/>
          <w:color w:val="auto"/>
          <w:sz w:val="52"/>
          <w:szCs w:val="52"/>
          <w:u w:val="none" w:color="auto"/>
        </w:rPr>
      </w:pPr>
    </w:p>
    <w:p>
      <w:pPr>
        <w:spacing w:line="360" w:lineRule="auto"/>
        <w:jc w:val="both"/>
        <w:rPr>
          <w:rFonts w:ascii="宋体" w:hAnsi="宋体"/>
          <w:b/>
          <w:bCs/>
          <w:color w:val="auto"/>
          <w:sz w:val="52"/>
          <w:szCs w:val="52"/>
          <w:u w:val="none" w:color="auto"/>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1920" w:firstLineChars="600"/>
        <w:jc w:val="both"/>
        <w:textAlignment w:val="auto"/>
        <w:rPr>
          <w:rFonts w:hint="default" w:ascii="Times New Roman" w:hAnsi="Times New Roman" w:eastAsia="Times New Roman"/>
          <w:b w:val="0"/>
          <w:bCs w:val="0"/>
          <w:color w:val="auto"/>
          <w:kern w:val="2"/>
          <w:sz w:val="21"/>
          <w:szCs w:val="24"/>
          <w:u w:val="none" w:color="auto"/>
        </w:rPr>
      </w:pPr>
      <w:r>
        <w:rPr>
          <w:rFonts w:hint="eastAsia" w:ascii="黑体" w:hAnsi="黑体" w:eastAsia="黑体"/>
          <w:b w:val="0"/>
          <w:bCs w:val="0"/>
          <w:color w:val="auto"/>
          <w:kern w:val="2"/>
          <w:sz w:val="32"/>
          <w:szCs w:val="24"/>
          <w:u w:val="none" w:color="auto"/>
        </w:rPr>
        <w:t xml:space="preserve">批复时间： </w:t>
      </w:r>
      <w:r>
        <w:rPr>
          <w:rFonts w:hint="eastAsia" w:ascii="黑体" w:hAnsi="黑体" w:eastAsia="黑体"/>
          <w:b w:val="0"/>
          <w:bCs w:val="0"/>
          <w:color w:val="auto"/>
          <w:kern w:val="2"/>
          <w:sz w:val="32"/>
          <w:szCs w:val="24"/>
          <w:u w:val="none" w:color="auto"/>
          <w:lang w:val="en-US" w:eastAsia="zh-CN"/>
        </w:rPr>
        <w:t>2025</w:t>
      </w:r>
      <w:r>
        <w:rPr>
          <w:rFonts w:hint="eastAsia" w:ascii="黑体" w:hAnsi="黑体" w:eastAsia="黑体"/>
          <w:b w:val="0"/>
          <w:bCs w:val="0"/>
          <w:color w:val="auto"/>
          <w:kern w:val="2"/>
          <w:sz w:val="32"/>
          <w:szCs w:val="24"/>
          <w:u w:val="none" w:color="auto"/>
        </w:rPr>
        <w:t xml:space="preserve">年 </w:t>
      </w:r>
      <w:r>
        <w:rPr>
          <w:rFonts w:hint="eastAsia" w:ascii="黑体" w:hAnsi="黑体" w:eastAsia="黑体"/>
          <w:b w:val="0"/>
          <w:bCs w:val="0"/>
          <w:color w:val="auto"/>
          <w:kern w:val="2"/>
          <w:sz w:val="32"/>
          <w:szCs w:val="24"/>
          <w:u w:val="none" w:color="auto"/>
          <w:lang w:val="en-US" w:eastAsia="zh-CN"/>
        </w:rPr>
        <w:t>7</w:t>
      </w:r>
      <w:r>
        <w:rPr>
          <w:rFonts w:hint="eastAsia" w:ascii="黑体" w:hAnsi="黑体" w:eastAsia="黑体"/>
          <w:b w:val="0"/>
          <w:bCs w:val="0"/>
          <w:color w:val="auto"/>
          <w:kern w:val="2"/>
          <w:sz w:val="32"/>
          <w:szCs w:val="24"/>
          <w:u w:val="none" w:color="auto"/>
        </w:rPr>
        <w:t xml:space="preserve"> 月 </w:t>
      </w:r>
      <w:r>
        <w:rPr>
          <w:rFonts w:hint="eastAsia" w:ascii="黑体" w:hAnsi="黑体" w:eastAsia="黑体"/>
          <w:b w:val="0"/>
          <w:bCs w:val="0"/>
          <w:color w:val="auto"/>
          <w:kern w:val="2"/>
          <w:sz w:val="32"/>
          <w:szCs w:val="24"/>
          <w:u w:val="none" w:color="auto"/>
          <w:lang w:val="en-US" w:eastAsia="zh-CN"/>
        </w:rPr>
        <w:t>1</w:t>
      </w:r>
      <w:r>
        <w:rPr>
          <w:rFonts w:hint="eastAsia" w:ascii="黑体" w:hAnsi="黑体" w:eastAsia="黑体"/>
          <w:b w:val="0"/>
          <w:bCs w:val="0"/>
          <w:color w:val="auto"/>
          <w:kern w:val="2"/>
          <w:sz w:val="32"/>
          <w:szCs w:val="24"/>
          <w:u w:val="none" w:color="auto"/>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1920" w:firstLineChars="600"/>
        <w:jc w:val="both"/>
        <w:textAlignment w:val="auto"/>
        <w:rPr>
          <w:rFonts w:hint="default" w:ascii="Times New Roman" w:hAnsi="Times New Roman" w:eastAsia="Times New Roman"/>
          <w:b w:val="0"/>
          <w:bCs w:val="0"/>
          <w:color w:val="auto"/>
          <w:kern w:val="2"/>
          <w:sz w:val="21"/>
          <w:szCs w:val="24"/>
          <w:u w:val="none" w:color="auto"/>
        </w:rPr>
      </w:pPr>
      <w:r>
        <w:rPr>
          <w:rFonts w:hint="eastAsia" w:ascii="黑体" w:hAnsi="黑体" w:eastAsia="黑体"/>
          <w:b w:val="0"/>
          <w:bCs w:val="0"/>
          <w:color w:val="auto"/>
          <w:kern w:val="2"/>
          <w:sz w:val="32"/>
          <w:szCs w:val="24"/>
          <w:u w:val="none" w:color="auto"/>
        </w:rPr>
        <w:t xml:space="preserve">公开时间： </w:t>
      </w:r>
      <w:r>
        <w:rPr>
          <w:rFonts w:hint="eastAsia" w:ascii="黑体" w:hAnsi="黑体" w:eastAsia="黑体"/>
          <w:b w:val="0"/>
          <w:bCs w:val="0"/>
          <w:color w:val="auto"/>
          <w:kern w:val="2"/>
          <w:sz w:val="32"/>
          <w:szCs w:val="24"/>
          <w:u w:val="none" w:color="auto"/>
          <w:lang w:val="en-US" w:eastAsia="zh-CN"/>
        </w:rPr>
        <w:t>2025</w:t>
      </w:r>
      <w:r>
        <w:rPr>
          <w:rFonts w:hint="eastAsia" w:ascii="黑体" w:hAnsi="黑体" w:eastAsia="黑体"/>
          <w:b w:val="0"/>
          <w:bCs w:val="0"/>
          <w:color w:val="auto"/>
          <w:kern w:val="2"/>
          <w:sz w:val="32"/>
          <w:szCs w:val="24"/>
          <w:u w:val="none" w:color="auto"/>
        </w:rPr>
        <w:t xml:space="preserve">年 </w:t>
      </w:r>
      <w:r>
        <w:rPr>
          <w:rFonts w:hint="eastAsia" w:ascii="黑体" w:hAnsi="黑体" w:eastAsia="黑体"/>
          <w:b w:val="0"/>
          <w:bCs w:val="0"/>
          <w:color w:val="auto"/>
          <w:kern w:val="2"/>
          <w:sz w:val="32"/>
          <w:szCs w:val="24"/>
          <w:u w:val="none" w:color="auto"/>
          <w:lang w:val="en-US" w:eastAsia="zh-CN"/>
        </w:rPr>
        <w:t>7</w:t>
      </w:r>
      <w:r>
        <w:rPr>
          <w:rFonts w:hint="eastAsia" w:ascii="黑体" w:hAnsi="黑体" w:eastAsia="黑体"/>
          <w:b w:val="0"/>
          <w:bCs w:val="0"/>
          <w:color w:val="auto"/>
          <w:kern w:val="2"/>
          <w:sz w:val="32"/>
          <w:szCs w:val="24"/>
          <w:u w:val="none" w:color="auto"/>
        </w:rPr>
        <w:t xml:space="preserve"> 月</w:t>
      </w:r>
      <w:r>
        <w:rPr>
          <w:rFonts w:hint="eastAsia" w:ascii="黑体" w:hAnsi="黑体" w:eastAsia="黑体"/>
          <w:b w:val="0"/>
          <w:bCs w:val="0"/>
          <w:color w:val="auto"/>
          <w:kern w:val="2"/>
          <w:sz w:val="32"/>
          <w:szCs w:val="24"/>
          <w:u w:val="none" w:color="auto"/>
          <w:lang w:val="en-US" w:eastAsia="zh-CN"/>
        </w:rPr>
        <w:t>18</w:t>
      </w:r>
      <w:r>
        <w:rPr>
          <w:rFonts w:hint="eastAsia" w:ascii="黑体" w:hAnsi="黑体" w:eastAsia="黑体"/>
          <w:b w:val="0"/>
          <w:bCs w:val="0"/>
          <w:color w:val="auto"/>
          <w:kern w:val="2"/>
          <w:sz w:val="32"/>
          <w:szCs w:val="24"/>
          <w:u w:val="none" w:color="auto"/>
        </w:rPr>
        <w:t>日</w:t>
      </w:r>
    </w:p>
    <w:p>
      <w:pPr>
        <w:ind w:firstLine="2249" w:firstLineChars="700"/>
        <w:rPr>
          <w:rFonts w:ascii="仿宋" w:hAnsi="仿宋" w:eastAsia="仿宋"/>
          <w:b/>
          <w:color w:val="auto"/>
          <w:sz w:val="32"/>
          <w:szCs w:val="32"/>
          <w:u w:val="none" w:color="auto"/>
        </w:rPr>
        <w:sectPr>
          <w:pgSz w:w="11906" w:h="16838"/>
          <w:pgMar w:top="2098" w:right="1474" w:bottom="1984" w:left="1587" w:header="0" w:footer="720" w:gutter="0"/>
          <w:cols w:space="425" w:num="1"/>
          <w:docGrid w:type="lines" w:linePitch="312" w:charSpace="0"/>
        </w:sectPr>
      </w:pPr>
    </w:p>
    <w:p>
      <w:pPr>
        <w:widowControl/>
        <w:spacing w:after="240"/>
        <w:jc w:val="center"/>
        <w:rPr>
          <w:rFonts w:ascii="Times New Roman" w:hAnsi="Times New Roman" w:eastAsia="Times New Roman" w:cs="Times New Roman"/>
          <w:color w:val="auto"/>
          <w:kern w:val="0"/>
          <w:sz w:val="44"/>
          <w:szCs w:val="44"/>
          <w:u w:val="none" w:color="auto"/>
        </w:rPr>
      </w:pPr>
      <w:bookmarkStart w:id="0" w:name="a000"/>
      <w:r>
        <w:rPr>
          <w:rFonts w:hint="eastAsia" w:ascii="方正小标宋简体" w:hAnsi="方正小标宋简体" w:eastAsia="方正小标宋简体" w:cs="方正小标宋简体"/>
          <w:b/>
          <w:bCs/>
          <w:color w:val="auto"/>
          <w:kern w:val="0"/>
          <w:sz w:val="44"/>
          <w:szCs w:val="44"/>
          <w:u w:val="none" w:color="auto"/>
        </w:rPr>
        <w:t>目 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u w:val="none" w:color="auto"/>
        </w:rPr>
      </w:pPr>
      <w:r>
        <w:rPr>
          <w:rFonts w:hint="eastAsia" w:ascii="黑体" w:hAnsi="黑体" w:eastAsia="黑体" w:cs="黑体"/>
          <w:color w:val="auto"/>
          <w:kern w:val="0"/>
          <w:sz w:val="32"/>
          <w:szCs w:val="32"/>
          <w:u w:val="none" w:color="auto"/>
        </w:rPr>
        <w:t>第一部分 部门概况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一、主要职能、职责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二、部门机构设置及决算单位构成情况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三、2024年度部门主要工作完成情况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u w:val="none" w:color="auto"/>
        </w:rPr>
      </w:pPr>
      <w:r>
        <w:rPr>
          <w:rFonts w:hint="eastAsia" w:ascii="黑体" w:hAnsi="黑体" w:eastAsia="黑体" w:cs="黑体"/>
          <w:color w:val="auto"/>
          <w:kern w:val="0"/>
          <w:sz w:val="32"/>
          <w:szCs w:val="32"/>
          <w:u w:val="none" w:color="auto"/>
        </w:rPr>
        <w:t>第二部分 部门决算情况说明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三、支出决算情况说明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八、财政拨款“三公”经费支出决算情况说明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十一、机关运行经费（公用经费）支出决算情况说明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十二、政府采购支出决算情况说明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十三、国有资产占用情况说明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十四、预算绩效情况说明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u w:val="none" w:color="auto"/>
        </w:rPr>
      </w:pPr>
      <w:r>
        <w:rPr>
          <w:rFonts w:hint="eastAsia" w:ascii="黑体" w:hAnsi="黑体" w:eastAsia="黑体" w:cs="黑体"/>
          <w:color w:val="auto"/>
          <w:kern w:val="0"/>
          <w:sz w:val="32"/>
          <w:szCs w:val="32"/>
          <w:u w:val="none" w:color="auto"/>
        </w:rPr>
        <w:t>第三部分 名词解释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u w:val="none" w:color="auto"/>
        </w:rPr>
      </w:pPr>
      <w:r>
        <w:rPr>
          <w:rFonts w:hint="eastAsia" w:ascii="黑体" w:hAnsi="黑体" w:eastAsia="黑体" w:cs="黑体"/>
          <w:color w:val="auto"/>
          <w:kern w:val="0"/>
          <w:sz w:val="32"/>
          <w:szCs w:val="32"/>
          <w:u w:val="none" w:color="auto"/>
        </w:rPr>
        <w:t>第四部分 决算公开联系方式及信息反馈渠道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u w:val="none" w:color="auto"/>
        </w:rPr>
      </w:pPr>
      <w:r>
        <w:rPr>
          <w:rFonts w:hint="eastAsia" w:ascii="黑体" w:hAnsi="黑体" w:eastAsia="黑体" w:cs="黑体"/>
          <w:color w:val="auto"/>
          <w:kern w:val="0"/>
          <w:sz w:val="32"/>
          <w:szCs w:val="32"/>
          <w:u w:val="none" w:color="auto"/>
        </w:rPr>
        <w:t>第五部分 部门决算表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一、收入支出决算总表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二、收入决算表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三、支出决算表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四、财政拨款收入支出决算总表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五、一般公共预算财政拨款支出决算表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六、一般公共预算财政拨款基本支出决算明细表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七、一般公共预算财政拨款项目支出决算明细表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九、国有资本经营预算财政拨款收入支出决算表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十、财政拨款“三公”经费支出决算表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十一、机关运行经费支出、国有资产占用情况及政府采购支出信息表</w:t>
      </w:r>
    </w:p>
    <w:p>
      <w:pPr>
        <w:widowControl/>
        <w:spacing w:before="240" w:after="240"/>
        <w:rPr>
          <w:rFonts w:ascii="Times New Roman" w:hAnsi="Times New Roman" w:eastAsia="Times New Roman" w:cs="Times New Roman"/>
          <w:color w:val="auto"/>
          <w:kern w:val="0"/>
          <w:sz w:val="24"/>
          <w:u w:val="none" w:color="auto"/>
        </w:rPr>
      </w:pPr>
    </w:p>
    <w:p>
      <w:pPr>
        <w:widowControl/>
        <w:spacing w:before="240" w:after="240"/>
        <w:rPr>
          <w:rFonts w:ascii="Times New Roman" w:hAnsi="Times New Roman" w:eastAsia="Times New Roman" w:cs="Times New Roman"/>
          <w:color w:val="auto"/>
          <w:kern w:val="0"/>
          <w:sz w:val="24"/>
          <w:u w:val="none" w:color="auto"/>
        </w:rPr>
      </w:pPr>
    </w:p>
    <w:p>
      <w:pPr>
        <w:widowControl/>
        <w:spacing w:before="240" w:after="240"/>
        <w:rPr>
          <w:rFonts w:ascii="Times New Roman" w:hAnsi="Times New Roman" w:eastAsia="Times New Roman" w:cs="Times New Roman"/>
          <w:color w:val="auto"/>
          <w:kern w:val="0"/>
          <w:sz w:val="24"/>
          <w:u w:val="none" w:color="auto"/>
        </w:rPr>
      </w:pPr>
    </w:p>
    <w:p>
      <w:pPr>
        <w:widowControl/>
        <w:spacing w:before="240" w:after="240"/>
        <w:rPr>
          <w:rFonts w:ascii="Times New Roman" w:hAnsi="Times New Roman" w:eastAsia="Times New Roman" w:cs="Times New Roman"/>
          <w:color w:val="auto"/>
          <w:kern w:val="0"/>
          <w:sz w:val="24"/>
          <w:u w:val="none" w:color="auto"/>
        </w:rPr>
      </w:pPr>
    </w:p>
    <w:p>
      <w:pPr>
        <w:widowControl/>
        <w:spacing w:before="240" w:after="240"/>
        <w:rPr>
          <w:rFonts w:ascii="Times New Roman" w:hAnsi="Times New Roman" w:eastAsia="Times New Roman" w:cs="Times New Roman"/>
          <w:color w:val="auto"/>
          <w:kern w:val="0"/>
          <w:sz w:val="24"/>
          <w:u w:val="none" w:color="auto"/>
        </w:rPr>
      </w:pPr>
    </w:p>
    <w:p>
      <w:pPr>
        <w:widowControl/>
        <w:spacing w:before="240" w:after="240"/>
        <w:rPr>
          <w:rFonts w:ascii="Times New Roman" w:hAnsi="Times New Roman" w:eastAsia="Times New Roman" w:cs="Times New Roman"/>
          <w:color w:val="auto"/>
          <w:kern w:val="0"/>
          <w:sz w:val="24"/>
          <w:u w:val="none" w:color="auto"/>
        </w:rPr>
      </w:pPr>
    </w:p>
    <w:p>
      <w:pPr>
        <w:widowControl/>
        <w:spacing w:before="240" w:after="240"/>
        <w:rPr>
          <w:rFonts w:ascii="Times New Roman" w:hAnsi="Times New Roman" w:eastAsia="Times New Roman" w:cs="Times New Roman"/>
          <w:color w:val="auto"/>
          <w:kern w:val="0"/>
          <w:sz w:val="24"/>
          <w:u w:val="none" w:color="auto"/>
        </w:rPr>
      </w:pPr>
    </w:p>
    <w:p>
      <w:pPr>
        <w:widowControl/>
        <w:spacing w:before="240" w:after="240"/>
        <w:rPr>
          <w:rFonts w:ascii="Times New Roman" w:hAnsi="Times New Roman" w:eastAsia="Times New Roman" w:cs="Times New Roman"/>
          <w:color w:val="auto"/>
          <w:kern w:val="0"/>
          <w:sz w:val="24"/>
          <w:u w:val="none" w:color="auto"/>
        </w:rPr>
      </w:pPr>
    </w:p>
    <w:p>
      <w:pPr>
        <w:pStyle w:val="5"/>
        <w:keepNext w:val="0"/>
        <w:keepLines w:val="0"/>
        <w:pageBreakBefore w:val="0"/>
        <w:widowControl/>
        <w:numPr>
          <w:ilvl w:val="0"/>
          <w:numId w:val="1"/>
        </w:numPr>
        <w:kinsoku/>
        <w:wordWrap/>
        <w:overflowPunct/>
        <w:topLinePunct w:val="0"/>
        <w:autoSpaceDE/>
        <w:autoSpaceDN/>
        <w:bidi w:val="0"/>
        <w:adjustRightInd/>
        <w:spacing w:before="0" w:after="0" w:line="560" w:lineRule="exact"/>
        <w:ind w:firstLine="723" w:firstLineChars="200"/>
        <w:jc w:val="center"/>
        <w:textAlignment w:val="auto"/>
        <w:rPr>
          <w:rFonts w:hint="eastAsia" w:ascii="方正小标宋简体" w:hAnsi="方正小标宋简体" w:eastAsia="方正小标宋简体" w:cs="方正小标宋简体"/>
          <w:color w:val="auto"/>
          <w:kern w:val="0"/>
          <w:sz w:val="36"/>
          <w:szCs w:val="36"/>
          <w:u w:val="none" w:color="auto"/>
        </w:rPr>
      </w:pPr>
      <w:r>
        <w:rPr>
          <w:rFonts w:hint="eastAsia" w:ascii="方正小标宋简体" w:hAnsi="方正小标宋简体" w:eastAsia="方正小标宋简体" w:cs="方正小标宋简体"/>
          <w:color w:val="auto"/>
          <w:kern w:val="0"/>
          <w:sz w:val="36"/>
          <w:szCs w:val="36"/>
          <w:u w:val="none" w:color="auto"/>
        </w:rPr>
        <w:t>部门概况</w:t>
      </w:r>
    </w:p>
    <w:p>
      <w:pPr>
        <w:numPr>
          <w:ilvl w:val="0"/>
          <w:numId w:val="0"/>
        </w:numPr>
        <w:rPr>
          <w:rFonts w:hint="eastAsia"/>
          <w:color w:val="auto"/>
          <w:u w:val="none" w:color="auto"/>
        </w:rPr>
      </w:pPr>
    </w:p>
    <w:p>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textAlignment w:val="auto"/>
        <w:rPr>
          <w:rFonts w:ascii="Times New Roman" w:hAnsi="Times New Roman" w:eastAsia="Times New Roman" w:cs="Times New Roman"/>
          <w:color w:val="auto"/>
          <w:kern w:val="0"/>
          <w:sz w:val="24"/>
          <w:u w:val="none" w:color="auto"/>
        </w:rPr>
      </w:pPr>
      <w:r>
        <w:rPr>
          <w:rFonts w:ascii="Calibri" w:hAnsi="Calibri" w:eastAsia="Calibri" w:cs="Calibri"/>
          <w:b/>
          <w:bCs/>
          <w:color w:val="auto"/>
          <w:kern w:val="0"/>
          <w:sz w:val="27"/>
          <w:szCs w:val="27"/>
          <w:u w:val="none" w:color="auto"/>
        </w:rPr>
        <w:t> </w:t>
      </w:r>
      <w:r>
        <w:rPr>
          <w:rFonts w:ascii="黑体" w:hAnsi="黑体" w:eastAsia="黑体" w:cs="黑体"/>
          <w:b/>
          <w:bCs/>
          <w:color w:val="auto"/>
          <w:kern w:val="0"/>
          <w:sz w:val="27"/>
          <w:szCs w:val="27"/>
          <w:u w:val="none" w:color="auto"/>
        </w:rPr>
        <w:t xml:space="preserve"> </w:t>
      </w:r>
      <w:r>
        <w:rPr>
          <w:rFonts w:ascii="Calibri" w:hAnsi="Calibri" w:eastAsia="Calibri" w:cs="Calibri"/>
          <w:b/>
          <w:bCs/>
          <w:color w:val="auto"/>
          <w:kern w:val="0"/>
          <w:sz w:val="27"/>
          <w:szCs w:val="27"/>
          <w:u w:val="none" w:color="auto"/>
        </w:rPr>
        <w:t> </w:t>
      </w:r>
      <w:r>
        <w:rPr>
          <w:rFonts w:ascii="黑体" w:hAnsi="黑体" w:eastAsia="黑体" w:cs="黑体"/>
          <w:b/>
          <w:bCs/>
          <w:color w:val="auto"/>
          <w:kern w:val="0"/>
          <w:sz w:val="27"/>
          <w:szCs w:val="27"/>
          <w:u w:val="none" w:color="auto"/>
        </w:rPr>
        <w:t xml:space="preserve"> </w:t>
      </w:r>
      <w:r>
        <w:rPr>
          <w:rFonts w:ascii="黑体" w:hAnsi="黑体" w:eastAsia="黑体" w:cs="黑体"/>
          <w:b/>
          <w:bCs/>
          <w:color w:val="auto"/>
          <w:kern w:val="0"/>
          <w:sz w:val="32"/>
          <w:szCs w:val="32"/>
          <w:u w:val="none" w:color="auto"/>
        </w:rPr>
        <w:t>一、主要职能、职责</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楷体_GB2312" w:eastAsia="楷体_GB2312"/>
          <w:color w:val="auto"/>
          <w:sz w:val="32"/>
          <w:szCs w:val="32"/>
          <w:u w:val="none" w:color="auto"/>
        </w:rPr>
      </w:pPr>
      <w:r>
        <w:rPr>
          <w:rFonts w:hint="eastAsia" w:ascii="楷体_GB2312" w:eastAsia="楷体_GB2312"/>
          <w:color w:val="auto"/>
          <w:sz w:val="32"/>
          <w:szCs w:val="32"/>
          <w:u w:val="none" w:color="auto"/>
        </w:rPr>
        <w:t>（一）部门职能</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auto"/>
          <w:sz w:val="32"/>
          <w:szCs w:val="32"/>
          <w:u w:val="none" w:color="auto"/>
        </w:rPr>
      </w:pPr>
      <w:r>
        <w:rPr>
          <w:rFonts w:hint="eastAsia" w:eastAsia="仿宋_GB2312"/>
          <w:color w:val="auto"/>
          <w:sz w:val="32"/>
          <w:szCs w:val="32"/>
          <w:u w:val="none" w:color="auto"/>
          <w:lang w:eastAsia="zh-CN"/>
        </w:rPr>
        <w:t>赤峰高新技术产业开发区管理委员会</w:t>
      </w:r>
      <w:r>
        <w:rPr>
          <w:rFonts w:hint="eastAsia" w:eastAsia="仿宋_GB2312"/>
          <w:color w:val="auto"/>
          <w:sz w:val="32"/>
          <w:szCs w:val="32"/>
          <w:u w:val="none" w:color="auto"/>
        </w:rPr>
        <w:t>是赤峰市人民政府</w:t>
      </w:r>
      <w:r>
        <w:rPr>
          <w:rFonts w:hint="eastAsia" w:eastAsia="仿宋_GB2312"/>
          <w:color w:val="auto"/>
          <w:sz w:val="32"/>
          <w:szCs w:val="32"/>
          <w:u w:val="none" w:color="auto"/>
          <w:lang w:eastAsia="zh-CN"/>
        </w:rPr>
        <w:t>派出机构，为正处级</w:t>
      </w:r>
      <w:r>
        <w:rPr>
          <w:rFonts w:hint="eastAsia" w:eastAsia="仿宋_GB2312"/>
          <w:color w:val="auto"/>
          <w:sz w:val="32"/>
          <w:szCs w:val="32"/>
          <w:u w:val="none" w:color="auto"/>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楷体_GB2312" w:eastAsia="楷体_GB2312"/>
          <w:color w:val="auto"/>
          <w:sz w:val="32"/>
          <w:szCs w:val="32"/>
          <w:u w:val="none" w:color="auto"/>
        </w:rPr>
      </w:pPr>
      <w:r>
        <w:rPr>
          <w:rFonts w:hint="eastAsia" w:ascii="楷体_GB2312" w:eastAsia="楷体_GB2312"/>
          <w:color w:val="auto"/>
          <w:sz w:val="32"/>
          <w:szCs w:val="32"/>
          <w:u w:val="none" w:color="auto"/>
        </w:rPr>
        <w:t>（二）部门主要职责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24"/>
          <w:u w:val="none" w:color="auto"/>
        </w:rPr>
      </w:pPr>
      <w:r>
        <w:rPr>
          <w:rFonts w:hint="eastAsia" w:ascii="仿宋_GB2312" w:hAnsi="仿宋_GB2312" w:eastAsia="仿宋_GB2312"/>
          <w:color w:val="auto"/>
          <w:sz w:val="32"/>
          <w:szCs w:val="24"/>
          <w:u w:val="none" w:color="auto"/>
        </w:rPr>
        <w:t>1</w:t>
      </w:r>
      <w:r>
        <w:rPr>
          <w:rFonts w:hint="eastAsia" w:ascii="仿宋_GB2312" w:hAnsi="仿宋_GB2312" w:eastAsia="仿宋_GB2312"/>
          <w:color w:val="auto"/>
          <w:sz w:val="32"/>
          <w:szCs w:val="24"/>
          <w:u w:val="none" w:color="auto"/>
          <w:lang w:val="en-US" w:eastAsia="zh-CN"/>
        </w:rPr>
        <w:t>.</w:t>
      </w:r>
      <w:r>
        <w:rPr>
          <w:rFonts w:hint="eastAsia" w:ascii="仿宋_GB2312" w:hAnsi="仿宋_GB2312" w:eastAsia="仿宋_GB2312"/>
          <w:color w:val="auto"/>
          <w:sz w:val="32"/>
          <w:szCs w:val="24"/>
          <w:u w:val="none" w:color="auto"/>
        </w:rPr>
        <w:t>贯彻党中央关于开发区工作的方针政策，在履行职责过程中坚持和加强党对开发区工作的集中统一领导。负责开发区党的建设、党风廉政建设、意识形态、精神文明建设、统一战线、群团等工作。牢牢把握铸牢中华民族共同体意识工作主线，将之贯穿于开发区规划、产业发展、项目建设等工作及自身建设全过程各方面。</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24"/>
          <w:u w:val="none" w:color="auto"/>
        </w:rPr>
      </w:pPr>
      <w:r>
        <w:rPr>
          <w:rFonts w:hint="eastAsia" w:ascii="仿宋_GB2312" w:hAnsi="仿宋_GB2312" w:eastAsia="仿宋_GB2312"/>
          <w:color w:val="auto"/>
          <w:sz w:val="32"/>
          <w:szCs w:val="24"/>
          <w:u w:val="none" w:color="auto"/>
          <w:lang w:val="en-US" w:eastAsia="zh-CN"/>
        </w:rPr>
        <w:t>2.</w:t>
      </w:r>
      <w:r>
        <w:rPr>
          <w:rFonts w:hint="eastAsia" w:ascii="仿宋_GB2312" w:hAnsi="仿宋_GB2312" w:eastAsia="仿宋_GB2312"/>
          <w:color w:val="auto"/>
          <w:sz w:val="32"/>
          <w:szCs w:val="24"/>
          <w:u w:val="none" w:color="auto"/>
        </w:rPr>
        <w:t>根据赤峰市总体发展规划和政策措施，拟订开发区总体规划、经济发展规划、产业发展规划、产业政策等。统筹推进冶金、化工、医药、装备制造、电子信息和物流等产业发展。在履行职责过程中统筹发展和安全，有效防范化解各类风险挑战，实现高质量发展和高水平安全的良性互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24"/>
          <w:u w:val="none" w:color="auto"/>
        </w:rPr>
      </w:pPr>
      <w:r>
        <w:rPr>
          <w:rFonts w:hint="eastAsia" w:ascii="仿宋_GB2312" w:hAnsi="仿宋_GB2312" w:eastAsia="仿宋_GB2312"/>
          <w:color w:val="auto"/>
          <w:sz w:val="32"/>
          <w:szCs w:val="24"/>
          <w:u w:val="none" w:color="auto"/>
          <w:lang w:val="en-US" w:eastAsia="zh-CN"/>
        </w:rPr>
        <w:t>3.</w:t>
      </w:r>
      <w:r>
        <w:rPr>
          <w:rFonts w:hint="eastAsia" w:ascii="仿宋_GB2312" w:hAnsi="仿宋_GB2312" w:eastAsia="仿宋_GB2312"/>
          <w:color w:val="auto"/>
          <w:sz w:val="32"/>
          <w:szCs w:val="24"/>
          <w:u w:val="none" w:color="auto"/>
        </w:rPr>
        <w:t>负责开发区经济发展、项目建设、招商引资、优化营商环境、节能降碳、区域评估和入区企业服务管理等相关工作。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24"/>
          <w:u w:val="none" w:color="auto"/>
        </w:rPr>
      </w:pPr>
      <w:r>
        <w:rPr>
          <w:rFonts w:hint="eastAsia" w:ascii="仿宋_GB2312" w:hAnsi="仿宋_GB2312" w:eastAsia="仿宋_GB2312"/>
          <w:color w:val="auto"/>
          <w:sz w:val="32"/>
          <w:szCs w:val="24"/>
          <w:u w:val="none" w:color="auto"/>
          <w:lang w:val="en-US" w:eastAsia="zh-CN"/>
        </w:rPr>
        <w:t>4.</w:t>
      </w:r>
      <w:r>
        <w:rPr>
          <w:rFonts w:hint="eastAsia" w:ascii="仿宋_GB2312" w:hAnsi="仿宋_GB2312" w:eastAsia="仿宋_GB2312"/>
          <w:color w:val="auto"/>
          <w:sz w:val="32"/>
          <w:szCs w:val="24"/>
          <w:u w:val="none" w:color="auto"/>
        </w:rPr>
        <w:t>负责开发区经济运行监测、分析、统计工作。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24"/>
          <w:u w:val="none" w:color="auto"/>
        </w:rPr>
      </w:pPr>
      <w:r>
        <w:rPr>
          <w:rFonts w:hint="eastAsia" w:ascii="仿宋_GB2312" w:hAnsi="仿宋_GB2312" w:eastAsia="仿宋_GB2312"/>
          <w:color w:val="auto"/>
          <w:sz w:val="32"/>
          <w:szCs w:val="24"/>
          <w:u w:val="none" w:color="auto"/>
          <w:lang w:val="en-US" w:eastAsia="zh-CN"/>
        </w:rPr>
        <w:t>5.</w:t>
      </w:r>
      <w:r>
        <w:rPr>
          <w:rFonts w:hint="eastAsia" w:ascii="仿宋_GB2312" w:hAnsi="仿宋_GB2312" w:eastAsia="仿宋_GB2312"/>
          <w:color w:val="auto"/>
          <w:sz w:val="32"/>
          <w:szCs w:val="24"/>
          <w:u w:val="none" w:color="auto"/>
        </w:rPr>
        <w:t>负责开发区基础设施和公用设施建设与管理工作。按权限负责开发区安全生产、生态环境、职业安全健康等工作。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24"/>
          <w:u w:val="none" w:color="auto"/>
        </w:rPr>
      </w:pPr>
      <w:r>
        <w:rPr>
          <w:rFonts w:hint="eastAsia" w:ascii="仿宋_GB2312" w:hAnsi="仿宋_GB2312" w:eastAsia="仿宋_GB2312"/>
          <w:color w:val="auto"/>
          <w:sz w:val="32"/>
          <w:szCs w:val="24"/>
          <w:u w:val="none" w:color="auto"/>
          <w:lang w:val="en-US" w:eastAsia="zh-CN"/>
        </w:rPr>
        <w:t>6.</w:t>
      </w:r>
      <w:r>
        <w:rPr>
          <w:rFonts w:hint="eastAsia" w:ascii="仿宋_GB2312" w:hAnsi="仿宋_GB2312" w:eastAsia="仿宋_GB2312"/>
          <w:color w:val="auto"/>
          <w:sz w:val="32"/>
          <w:szCs w:val="24"/>
          <w:u w:val="none" w:color="auto"/>
        </w:rPr>
        <w:t>负责开发区工业信息化、新兴产业发展、科技创新与成果转化、高新技术产业培育、人才服务等工作。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24"/>
          <w:u w:val="none" w:color="auto"/>
        </w:rPr>
      </w:pPr>
      <w:r>
        <w:rPr>
          <w:rFonts w:hint="eastAsia" w:ascii="仿宋_GB2312" w:hAnsi="仿宋_GB2312" w:eastAsia="仿宋_GB2312"/>
          <w:color w:val="auto"/>
          <w:sz w:val="32"/>
          <w:szCs w:val="24"/>
          <w:u w:val="none" w:color="auto"/>
          <w:lang w:val="en-US" w:eastAsia="zh-CN"/>
        </w:rPr>
        <w:t>7.</w:t>
      </w:r>
      <w:r>
        <w:rPr>
          <w:rFonts w:hint="eastAsia" w:ascii="仿宋_GB2312" w:hAnsi="仿宋_GB2312" w:eastAsia="仿宋_GB2312"/>
          <w:color w:val="auto"/>
          <w:sz w:val="32"/>
          <w:szCs w:val="24"/>
          <w:u w:val="none" w:color="auto"/>
        </w:rPr>
        <w:t>协调并指导有关部门的派出机构开展工作，负责开发区所属园区的管理工作。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olor w:val="auto"/>
          <w:sz w:val="32"/>
          <w:szCs w:val="24"/>
          <w:u w:val="none" w:color="auto"/>
        </w:rPr>
      </w:pPr>
      <w:r>
        <w:rPr>
          <w:rFonts w:hint="eastAsia" w:ascii="仿宋_GB2312" w:hAnsi="仿宋_GB2312" w:eastAsia="仿宋_GB2312"/>
          <w:color w:val="auto"/>
          <w:sz w:val="32"/>
          <w:szCs w:val="24"/>
          <w:u w:val="none" w:color="auto"/>
          <w:lang w:val="en-US" w:eastAsia="zh-CN"/>
        </w:rPr>
        <w:t>8.</w:t>
      </w:r>
      <w:r>
        <w:rPr>
          <w:rFonts w:hint="eastAsia" w:ascii="仿宋_GB2312" w:hAnsi="仿宋_GB2312" w:eastAsia="仿宋_GB2312"/>
          <w:color w:val="auto"/>
          <w:sz w:val="32"/>
          <w:szCs w:val="24"/>
          <w:u w:val="none" w:color="auto"/>
        </w:rPr>
        <w:t>按权限开展赋予开发区履行的行政审批、土地管理、建设管理、水利管理等相关工作。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Times New Roman" w:hAnsi="Times New Roman" w:eastAsia="Times New Roman" w:cs="Times New Roman"/>
          <w:color w:val="auto"/>
          <w:kern w:val="0"/>
          <w:sz w:val="24"/>
          <w:u w:val="none" w:color="auto"/>
        </w:rPr>
      </w:pPr>
      <w:r>
        <w:rPr>
          <w:rFonts w:hint="eastAsia" w:ascii="仿宋_GB2312" w:hAnsi="仿宋_GB2312" w:eastAsia="仿宋_GB2312"/>
          <w:color w:val="auto"/>
          <w:sz w:val="32"/>
          <w:szCs w:val="24"/>
          <w:u w:val="none" w:color="auto"/>
          <w:lang w:val="en-US" w:eastAsia="zh-CN"/>
        </w:rPr>
        <w:t>9.</w:t>
      </w:r>
      <w:r>
        <w:rPr>
          <w:rFonts w:hint="eastAsia" w:ascii="仿宋_GB2312" w:hAnsi="仿宋_GB2312" w:eastAsia="仿宋_GB2312"/>
          <w:color w:val="auto"/>
          <w:sz w:val="32"/>
          <w:szCs w:val="24"/>
          <w:u w:val="none" w:color="auto"/>
        </w:rPr>
        <w:t>完成赤峰市委、市政府交办的其他任务。</w:t>
      </w:r>
    </w:p>
    <w:p>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textAlignment w:val="auto"/>
        <w:rPr>
          <w:rFonts w:ascii="Times New Roman" w:hAnsi="Times New Roman" w:eastAsia="Times New Roman" w:cs="Times New Roman"/>
          <w:color w:val="auto"/>
          <w:kern w:val="0"/>
          <w:sz w:val="24"/>
          <w:u w:val="none" w:color="auto"/>
        </w:rPr>
      </w:pPr>
      <w:r>
        <w:rPr>
          <w:rFonts w:ascii="Calibri" w:hAnsi="Calibri" w:eastAsia="Calibri" w:cs="Calibri"/>
          <w:b/>
          <w:bCs/>
          <w:color w:val="auto"/>
          <w:kern w:val="0"/>
          <w:sz w:val="27"/>
          <w:szCs w:val="27"/>
          <w:u w:val="none" w:color="auto"/>
        </w:rPr>
        <w:t> </w:t>
      </w:r>
      <w:r>
        <w:rPr>
          <w:rFonts w:ascii="黑体" w:hAnsi="黑体" w:eastAsia="黑体" w:cs="黑体"/>
          <w:b/>
          <w:bCs/>
          <w:color w:val="auto"/>
          <w:kern w:val="0"/>
          <w:sz w:val="27"/>
          <w:szCs w:val="27"/>
          <w:u w:val="none" w:color="auto"/>
        </w:rPr>
        <w:t xml:space="preserve"> </w:t>
      </w:r>
      <w:r>
        <w:rPr>
          <w:rFonts w:ascii="Calibri" w:hAnsi="Calibri" w:eastAsia="Calibri" w:cs="Calibri"/>
          <w:b/>
          <w:bCs/>
          <w:color w:val="auto"/>
          <w:kern w:val="0"/>
          <w:sz w:val="27"/>
          <w:szCs w:val="27"/>
          <w:u w:val="none" w:color="auto"/>
        </w:rPr>
        <w:t> </w:t>
      </w:r>
      <w:r>
        <w:rPr>
          <w:rFonts w:ascii="黑体" w:hAnsi="黑体" w:eastAsia="黑体" w:cs="黑体"/>
          <w:b/>
          <w:bCs/>
          <w:color w:val="auto"/>
          <w:kern w:val="0"/>
          <w:sz w:val="27"/>
          <w:szCs w:val="27"/>
          <w:u w:val="none" w:color="auto"/>
        </w:rPr>
        <w:t xml:space="preserve"> </w:t>
      </w:r>
      <w:r>
        <w:rPr>
          <w:rFonts w:hint="eastAsia" w:ascii="黑体" w:hAnsi="黑体" w:eastAsia="黑体" w:cs="黑体"/>
          <w:b/>
          <w:bCs/>
          <w:color w:val="auto"/>
          <w:kern w:val="0"/>
          <w:sz w:val="32"/>
          <w:szCs w:val="32"/>
          <w:u w:val="none" w:color="auto"/>
        </w:rPr>
        <w:t>二、部门机构设置及决算单位构成情况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Times New Roman" w:cs="Times New Roman"/>
          <w:color w:val="auto"/>
          <w:kern w:val="0"/>
          <w:sz w:val="24"/>
          <w:u w:val="none" w:color="auto"/>
        </w:rPr>
      </w:pPr>
      <w:r>
        <w:rPr>
          <w:rFonts w:hint="default" w:ascii="仿宋_GB2312" w:hAnsi="仿宋_GB2312" w:eastAsia="仿宋_GB2312" w:cs="Times New Roman"/>
          <w:b w:val="0"/>
          <w:bCs w:val="0"/>
          <w:color w:val="auto"/>
          <w:kern w:val="0"/>
          <w:sz w:val="32"/>
          <w:szCs w:val="32"/>
          <w:u w:val="none" w:color="auto"/>
        </w:rPr>
        <w:t>1.</w:t>
      </w:r>
      <w:r>
        <w:rPr>
          <w:rFonts w:hint="eastAsia" w:ascii="仿宋_GB2312" w:hAnsi="仿宋_GB2312" w:eastAsia="仿宋_GB2312" w:cs="Times New Roman"/>
          <w:b w:val="0"/>
          <w:bCs w:val="0"/>
          <w:color w:val="auto"/>
          <w:kern w:val="0"/>
          <w:sz w:val="32"/>
          <w:szCs w:val="32"/>
          <w:u w:val="none" w:color="auto"/>
        </w:rPr>
        <w:t>根据部门职责分工，本部门内设机构包括</w:t>
      </w:r>
      <w:r>
        <w:rPr>
          <w:rFonts w:hint="eastAsia" w:ascii="仿宋_GB2312" w:hAnsi="仿宋_GB2312" w:eastAsia="仿宋_GB2312" w:cs="Times New Roman"/>
          <w:b w:val="0"/>
          <w:bCs w:val="0"/>
          <w:color w:val="auto"/>
          <w:kern w:val="0"/>
          <w:sz w:val="32"/>
          <w:szCs w:val="32"/>
          <w:u w:val="none" w:color="auto"/>
          <w:lang w:val="en-US" w:eastAsia="zh-CN"/>
        </w:rPr>
        <w:t>办公室、党群工作部、经济发展局、投资促进局、建设管理局(自然资源局)、安监环保局、科技金融局7个内设机构；本部门下属单位包括：赤峰市企业创新孵化中心、赤峰市产业创新研究院</w:t>
      </w:r>
      <w:r>
        <w:rPr>
          <w:rFonts w:hint="eastAsia" w:ascii="仿宋_GB2312" w:hAnsi="仿宋_GB2312" w:eastAsia="仿宋_GB2312" w:cs="Times New Roman"/>
          <w:b w:val="0"/>
          <w:bCs w:val="0"/>
          <w:color w:val="auto"/>
          <w:kern w:val="0"/>
          <w:sz w:val="32"/>
          <w:szCs w:val="32"/>
          <w:u w:val="none" w:color="auto"/>
        </w:rPr>
        <w:t>。</w:t>
      </w:r>
    </w:p>
    <w:tbl>
      <w:tblPr>
        <w:tblStyle w:val="23"/>
        <w:tblpPr w:leftFromText="180" w:rightFromText="180" w:vertAnchor="text" w:horzAnchor="page" w:tblpX="1810" w:tblpY="1911"/>
        <w:tblOverlap w:val="never"/>
        <w:tblW w:w="8519" w:type="dxa"/>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990"/>
        <w:gridCol w:w="4921"/>
        <w:gridCol w:w="2608"/>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552" w:hRule="atLeast"/>
          <w:tblHeader/>
          <w:tblCellSpacing w:w="15" w:type="dxa"/>
        </w:trPr>
        <w:tc>
          <w:tcPr>
            <w:tcW w:w="94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auto"/>
                <w:kern w:val="0"/>
                <w:sz w:val="24"/>
                <w:u w:val="none" w:color="auto"/>
              </w:rPr>
            </w:pPr>
            <w:r>
              <w:rPr>
                <w:rFonts w:ascii="仿宋_GB2312" w:hAnsi="仿宋_GB2312" w:eastAsia="仿宋_GB2312" w:cs="仿宋_GB2312"/>
                <w:b w:val="0"/>
                <w:bCs w:val="0"/>
                <w:i w:val="0"/>
                <w:iCs w:val="0"/>
                <w:smallCaps w:val="0"/>
                <w:color w:val="auto"/>
                <w:kern w:val="0"/>
                <w:sz w:val="24"/>
                <w:u w:val="none" w:color="auto"/>
              </w:rPr>
              <w:t>序号</w:t>
            </w:r>
          </w:p>
        </w:tc>
        <w:tc>
          <w:tcPr>
            <w:tcW w:w="489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auto"/>
                <w:kern w:val="0"/>
                <w:sz w:val="24"/>
                <w:u w:val="none" w:color="auto"/>
              </w:rPr>
            </w:pPr>
            <w:r>
              <w:rPr>
                <w:rFonts w:ascii="仿宋_GB2312" w:hAnsi="仿宋_GB2312" w:eastAsia="仿宋_GB2312" w:cs="仿宋_GB2312"/>
                <w:b w:val="0"/>
                <w:bCs w:val="0"/>
                <w:i w:val="0"/>
                <w:iCs w:val="0"/>
                <w:smallCaps w:val="0"/>
                <w:color w:val="auto"/>
                <w:kern w:val="0"/>
                <w:sz w:val="24"/>
                <w:u w:val="none" w:color="auto"/>
              </w:rPr>
              <w:t>单位名称</w:t>
            </w:r>
          </w:p>
        </w:tc>
        <w:tc>
          <w:tcPr>
            <w:tcW w:w="256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auto"/>
                <w:kern w:val="0"/>
                <w:sz w:val="24"/>
                <w:u w:val="none" w:color="auto"/>
              </w:rPr>
            </w:pPr>
            <w:r>
              <w:rPr>
                <w:rFonts w:ascii="仿宋_GB2312" w:hAnsi="仿宋_GB2312" w:eastAsia="仿宋_GB2312" w:cs="仿宋_GB2312"/>
                <w:b w:val="0"/>
                <w:bCs w:val="0"/>
                <w:i w:val="0"/>
                <w:iCs w:val="0"/>
                <w:smallCaps w:val="0"/>
                <w:color w:val="auto"/>
                <w:kern w:val="0"/>
                <w:sz w:val="24"/>
                <w:u w:val="none" w:color="auto"/>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37" w:hRule="atLeast"/>
          <w:tblCellSpacing w:w="15" w:type="dxa"/>
        </w:trPr>
        <w:tc>
          <w:tcPr>
            <w:tcW w:w="94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auto"/>
                <w:kern w:val="0"/>
                <w:sz w:val="24"/>
                <w:u w:val="none" w:color="auto"/>
              </w:rPr>
            </w:pPr>
            <w:r>
              <w:rPr>
                <w:rFonts w:ascii="仿宋_GB2312" w:hAnsi="仿宋_GB2312" w:eastAsia="仿宋_GB2312" w:cs="仿宋_GB2312"/>
                <w:b w:val="0"/>
                <w:bCs w:val="0"/>
                <w:i w:val="0"/>
                <w:iCs w:val="0"/>
                <w:smallCaps w:val="0"/>
                <w:color w:val="auto"/>
                <w:kern w:val="0"/>
                <w:sz w:val="24"/>
                <w:u w:val="none" w:color="auto"/>
              </w:rPr>
              <w:t>1</w:t>
            </w:r>
          </w:p>
        </w:tc>
        <w:tc>
          <w:tcPr>
            <w:tcW w:w="489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auto"/>
                <w:kern w:val="0"/>
                <w:sz w:val="24"/>
                <w:u w:val="none" w:color="auto"/>
              </w:rPr>
            </w:pPr>
            <w:r>
              <w:rPr>
                <w:rFonts w:hint="eastAsia" w:ascii="仿宋_GB2312" w:hAnsi="仿宋_GB2312" w:eastAsia="仿宋_GB2312" w:cs="Times New Roman"/>
                <w:b w:val="0"/>
                <w:bCs w:val="0"/>
                <w:color w:val="auto"/>
                <w:sz w:val="32"/>
                <w:szCs w:val="32"/>
                <w:u w:val="none" w:color="auto"/>
                <w:lang w:val="en-US" w:eastAsia="zh-CN"/>
              </w:rPr>
              <w:t>内蒙古</w:t>
            </w:r>
            <w:r>
              <w:rPr>
                <w:rFonts w:hint="eastAsia" w:ascii="仿宋_GB2312" w:hAnsi="仿宋_GB2312" w:eastAsia="仿宋_GB2312" w:cs="Times New Roman"/>
                <w:b w:val="0"/>
                <w:bCs w:val="0"/>
                <w:color w:val="auto"/>
                <w:sz w:val="32"/>
                <w:szCs w:val="32"/>
                <w:u w:val="none" w:color="auto"/>
              </w:rPr>
              <w:t>赤峰高新技术产业开发区管理委员会</w:t>
            </w:r>
            <w:r>
              <w:rPr>
                <w:rFonts w:hint="eastAsia" w:ascii="仿宋_GB2312" w:hAnsi="仿宋_GB2312" w:eastAsia="仿宋_GB2312"/>
                <w:b w:val="0"/>
                <w:bCs w:val="0"/>
                <w:color w:val="auto"/>
                <w:sz w:val="32"/>
                <w:szCs w:val="32"/>
                <w:u w:val="none" w:color="auto"/>
              </w:rPr>
              <w:t>（本级）</w:t>
            </w:r>
          </w:p>
        </w:tc>
        <w:tc>
          <w:tcPr>
            <w:tcW w:w="2563"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auto"/>
                <w:kern w:val="0"/>
                <w:sz w:val="24"/>
                <w:u w:val="none" w:color="auto"/>
              </w:rPr>
            </w:pPr>
            <w:r>
              <w:rPr>
                <w:rFonts w:hint="eastAsia" w:ascii="仿宋_GB2312" w:hAnsi="仿宋_GB2312" w:eastAsia="仿宋_GB2312"/>
                <w:b w:val="0"/>
                <w:bCs w:val="0"/>
                <w:color w:val="auto"/>
                <w:sz w:val="32"/>
                <w:szCs w:val="32"/>
                <w:u w:val="none" w:color="auto"/>
              </w:rPr>
              <w:t>财政拨款的行政单位</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Calibri" w:hAnsi="Calibri" w:eastAsia="Calibri" w:cs="Calibri"/>
          <w:b/>
          <w:bCs/>
          <w:color w:val="auto"/>
          <w:kern w:val="0"/>
          <w:sz w:val="27"/>
          <w:szCs w:val="27"/>
          <w:u w:val="none" w:color="auto"/>
        </w:rPr>
      </w:pPr>
      <w:r>
        <w:rPr>
          <w:rFonts w:hint="default" w:ascii="仿宋_GB2312" w:hAnsi="仿宋_GB2312" w:eastAsia="仿宋_GB2312" w:cs="Times New Roman"/>
          <w:b w:val="0"/>
          <w:bCs w:val="0"/>
          <w:color w:val="auto"/>
          <w:kern w:val="0"/>
          <w:sz w:val="32"/>
          <w:szCs w:val="32"/>
          <w:u w:val="none" w:color="auto"/>
        </w:rPr>
        <w:t>2.</w:t>
      </w:r>
      <w:r>
        <w:rPr>
          <w:rFonts w:hint="eastAsia" w:ascii="仿宋_GB2312" w:hAnsi="仿宋_GB2312" w:eastAsia="仿宋_GB2312" w:cs="Times New Roman"/>
          <w:b w:val="0"/>
          <w:bCs w:val="0"/>
          <w:color w:val="auto"/>
          <w:kern w:val="0"/>
          <w:sz w:val="32"/>
          <w:szCs w:val="32"/>
          <w:u w:val="none" w:color="auto"/>
        </w:rPr>
        <w:t>从决算单位构成看，纳入本部门202</w:t>
      </w:r>
      <w:r>
        <w:rPr>
          <w:rFonts w:hint="eastAsia" w:ascii="仿宋_GB2312" w:hAnsi="仿宋_GB2312" w:eastAsia="仿宋_GB2312" w:cs="Times New Roman"/>
          <w:b w:val="0"/>
          <w:bCs w:val="0"/>
          <w:color w:val="auto"/>
          <w:kern w:val="0"/>
          <w:sz w:val="32"/>
          <w:szCs w:val="32"/>
          <w:u w:val="none" w:color="auto"/>
          <w:lang w:val="en-US" w:eastAsia="zh-CN"/>
        </w:rPr>
        <w:t>4</w:t>
      </w:r>
      <w:r>
        <w:rPr>
          <w:rFonts w:hint="eastAsia" w:ascii="仿宋_GB2312" w:hAnsi="仿宋_GB2312" w:eastAsia="仿宋_GB2312" w:cs="Times New Roman"/>
          <w:b w:val="0"/>
          <w:bCs w:val="0"/>
          <w:color w:val="auto"/>
          <w:kern w:val="0"/>
          <w:sz w:val="32"/>
          <w:szCs w:val="32"/>
          <w:u w:val="none" w:color="auto"/>
        </w:rPr>
        <w:t>年部门汇总决算编制范围的预算单位共计</w:t>
      </w:r>
      <w:r>
        <w:rPr>
          <w:rFonts w:hint="eastAsia" w:ascii="仿宋_GB2312" w:hAnsi="仿宋_GB2312" w:eastAsia="仿宋_GB2312" w:cs="Times New Roman"/>
          <w:b w:val="0"/>
          <w:bCs w:val="0"/>
          <w:color w:val="auto"/>
          <w:kern w:val="0"/>
          <w:sz w:val="32"/>
          <w:szCs w:val="32"/>
          <w:u w:val="none" w:color="auto"/>
          <w:lang w:val="en-US" w:eastAsia="zh-CN"/>
        </w:rPr>
        <w:t>1</w:t>
      </w:r>
      <w:r>
        <w:rPr>
          <w:rFonts w:hint="eastAsia" w:ascii="仿宋_GB2312" w:hAnsi="仿宋_GB2312" w:eastAsia="仿宋_GB2312" w:cs="Times New Roman"/>
          <w:b w:val="0"/>
          <w:bCs w:val="0"/>
          <w:color w:val="auto"/>
          <w:kern w:val="0"/>
          <w:sz w:val="32"/>
          <w:szCs w:val="32"/>
          <w:u w:val="none" w:color="auto"/>
        </w:rPr>
        <w:t>家，具体包括：</w:t>
      </w:r>
      <w:r>
        <w:rPr>
          <w:rFonts w:hint="eastAsia" w:ascii="仿宋_GB2312" w:hAnsi="仿宋_GB2312" w:eastAsia="仿宋_GB2312" w:cs="Times New Roman"/>
          <w:b w:val="0"/>
          <w:bCs w:val="0"/>
          <w:color w:val="auto"/>
          <w:kern w:val="0"/>
          <w:sz w:val="32"/>
          <w:szCs w:val="32"/>
          <w:u w:val="none" w:color="auto"/>
          <w:lang w:val="en-US" w:eastAsia="zh-CN"/>
        </w:rPr>
        <w:t>内蒙古</w:t>
      </w:r>
      <w:r>
        <w:rPr>
          <w:rFonts w:hint="eastAsia" w:ascii="仿宋_GB2312" w:hAnsi="仿宋_GB2312" w:eastAsia="仿宋_GB2312" w:cs="Times New Roman"/>
          <w:b w:val="0"/>
          <w:bCs w:val="0"/>
          <w:color w:val="auto"/>
          <w:kern w:val="0"/>
          <w:sz w:val="32"/>
          <w:szCs w:val="32"/>
          <w:u w:val="none" w:color="auto"/>
        </w:rPr>
        <w:t>赤峰高新技术产业开发区管理委员会</w:t>
      </w:r>
      <w:r>
        <w:rPr>
          <w:rFonts w:hint="eastAsia" w:ascii="仿宋_GB2312" w:hAnsi="仿宋_GB2312" w:eastAsia="仿宋_GB2312" w:cs="Times New Roman"/>
          <w:b w:val="0"/>
          <w:bCs w:val="0"/>
          <w:color w:val="auto"/>
          <w:kern w:val="0"/>
          <w:sz w:val="32"/>
          <w:szCs w:val="32"/>
          <w:u w:val="none" w:color="auto"/>
          <w:lang w:eastAsia="zh-CN"/>
        </w:rPr>
        <w:t>（</w:t>
      </w:r>
      <w:r>
        <w:rPr>
          <w:rFonts w:hint="eastAsia" w:ascii="仿宋_GB2312" w:hAnsi="仿宋_GB2312" w:eastAsia="仿宋_GB2312" w:cs="Times New Roman"/>
          <w:b w:val="0"/>
          <w:bCs w:val="0"/>
          <w:color w:val="auto"/>
          <w:kern w:val="0"/>
          <w:sz w:val="32"/>
          <w:szCs w:val="32"/>
          <w:u w:val="none" w:color="auto"/>
        </w:rPr>
        <w:t>本级</w:t>
      </w:r>
      <w:r>
        <w:rPr>
          <w:rFonts w:hint="eastAsia" w:ascii="仿宋_GB2312" w:hAnsi="仿宋_GB2312" w:eastAsia="仿宋_GB2312" w:cs="Times New Roman"/>
          <w:b w:val="0"/>
          <w:bCs w:val="0"/>
          <w:color w:val="auto"/>
          <w:kern w:val="0"/>
          <w:sz w:val="32"/>
          <w:szCs w:val="32"/>
          <w:u w:val="none" w:color="auto"/>
          <w:lang w:eastAsia="zh-CN"/>
        </w:rPr>
        <w:t>）</w:t>
      </w:r>
      <w:r>
        <w:rPr>
          <w:rFonts w:hint="eastAsia" w:ascii="仿宋_GB2312" w:hAnsi="仿宋_GB2312" w:eastAsia="仿宋_GB2312" w:cs="Times New Roman"/>
          <w:b w:val="0"/>
          <w:bCs w:val="0"/>
          <w:color w:val="auto"/>
          <w:kern w:val="0"/>
          <w:sz w:val="32"/>
          <w:szCs w:val="32"/>
          <w:u w:val="none" w:color="auto"/>
        </w:rPr>
        <w:t>。详细情况见表</w:t>
      </w:r>
      <w:r>
        <w:rPr>
          <w:rFonts w:hint="eastAsia" w:ascii="仿宋_GB2312" w:hAnsi="仿宋_GB2312" w:eastAsia="仿宋_GB2312" w:cs="Times New Roman"/>
          <w:b w:val="0"/>
          <w:bCs w:val="0"/>
          <w:color w:val="auto"/>
          <w:kern w:val="0"/>
          <w:sz w:val="32"/>
          <w:szCs w:val="32"/>
          <w:u w:val="none" w:color="auto"/>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Times New Roman" w:hAnsi="Times New Roman" w:eastAsia="Times New Roman" w:cs="Times New Roman"/>
          <w:color w:val="auto"/>
          <w:kern w:val="0"/>
          <w:sz w:val="24"/>
          <w:u w:val="none" w:color="auto"/>
        </w:rPr>
      </w:pPr>
      <w:r>
        <w:rPr>
          <w:rFonts w:ascii="黑体" w:hAnsi="黑体" w:eastAsia="黑体" w:cs="黑体"/>
          <w:b/>
          <w:bCs/>
          <w:color w:val="auto"/>
          <w:kern w:val="0"/>
          <w:sz w:val="32"/>
          <w:szCs w:val="32"/>
          <w:u w:val="none" w:color="auto"/>
        </w:rPr>
        <w:t>三、2024年度部门主要工作完成情况</w:t>
      </w:r>
    </w:p>
    <w:p>
      <w:pPr>
        <w:keepNext w:val="0"/>
        <w:keepLines w:val="0"/>
        <w:pageBreakBefore w:val="0"/>
        <w:widowControl w:val="0"/>
        <w:kinsoku/>
        <w:wordWrap/>
        <w:overflowPunct/>
        <w:topLinePunct w:val="0"/>
        <w:autoSpaceDE/>
        <w:autoSpaceDN/>
        <w:bidi w:val="0"/>
        <w:adjustRightInd/>
        <w:snapToGrid/>
        <w:spacing w:line="560" w:lineRule="exact"/>
        <w:ind w:firstLine="540" w:firstLineChars="200"/>
        <w:textAlignment w:val="auto"/>
        <w:rPr>
          <w:rFonts w:hint="eastAsia" w:ascii="仿宋_GB2312" w:hAnsi="仿宋_GB2312" w:eastAsia="仿宋_GB2312" w:cs="仿宋_GB2312"/>
          <w:color w:val="auto"/>
          <w:sz w:val="32"/>
          <w:szCs w:val="32"/>
          <w:u w:val="none" w:color="auto"/>
        </w:rPr>
      </w:pPr>
      <w:r>
        <w:rPr>
          <w:rFonts w:ascii="Calibri" w:hAnsi="Calibri" w:eastAsia="Calibri" w:cs="Calibri"/>
          <w:color w:val="auto"/>
          <w:kern w:val="0"/>
          <w:sz w:val="27"/>
          <w:szCs w:val="27"/>
          <w:u w:val="none" w:color="auto"/>
        </w:rPr>
        <w:t> </w:t>
      </w:r>
      <w:r>
        <w:rPr>
          <w:rFonts w:hint="eastAsia" w:ascii="仿宋_GB2312" w:hAnsi="仿宋_GB2312" w:eastAsia="仿宋_GB2312" w:cs="仿宋_GB2312"/>
          <w:color w:val="auto"/>
          <w:sz w:val="32"/>
          <w:szCs w:val="32"/>
          <w:u w:val="none" w:color="auto"/>
        </w:rPr>
        <w:t>2024年，在市委、市政府的坚强领导下，赤峰高新区紧紧围绕升级国家高新区和创建2000亿园区两大奋斗目标，积极融入和服务构建新发展格局，牢固树立“项目为王、招商为要、实干为先”理念，扬优势、找差距、促发展，全力以赴拼经济、搞建设，经济运行稳中向好，创新动能加速形成，开放协同持续深化，安全防线压实扎牢，高质量发展、高效能管理实现协同共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牢牢抓住赤峰市建设承接国家产业转移示范区机遇，以延链、补链、强链、融链为目标，围绕铝基新材料、锂基新材料、冶金、化工、新能源和氢能等五个千亿级产业集群，打造产业生态。年内共实施5000万元以上重点项目82个，截至9月底，完成投资92.79亿元，完成工业总产值855.87亿元，同比增长10.2%；东山产业园实施重点项目25个，完成投资38.13亿元，实现工业总产值419.93亿元，同比增长9%。对接企业168家，已签约落地33个，计划总投资543.8亿元；东山产业园跟随主要领导外出考察31次，接待来访企业90多家，重点推进包括已签约中国五百强企业伊电电解铝以及圣钘锂盐2个项目，计划总投资310亿元，已经完成投资4.7亿元，重点接洽有合作意向企业13家，计划总投资436.7亿元，全部投产后产值可达901亿元。</w:t>
      </w:r>
    </w:p>
    <w:p>
      <w:pPr>
        <w:pStyle w:val="2"/>
        <w:rPr>
          <w:rFonts w:hint="eastAsia"/>
          <w:color w:val="auto"/>
          <w:u w:val="none" w:color="auto"/>
        </w:rPr>
      </w:pPr>
    </w:p>
    <w:p>
      <w:pPr>
        <w:pStyle w:val="5"/>
        <w:keepNext w:val="0"/>
        <w:keepLines w:val="0"/>
        <w:pageBreakBefore w:val="0"/>
        <w:widowControl/>
        <w:numPr>
          <w:ilvl w:val="0"/>
          <w:numId w:val="2"/>
        </w:numPr>
        <w:kinsoku/>
        <w:wordWrap/>
        <w:overflowPunct/>
        <w:topLinePunct w:val="0"/>
        <w:autoSpaceDE/>
        <w:autoSpaceDN/>
        <w:bidi w:val="0"/>
        <w:adjustRightInd/>
        <w:snapToGrid/>
        <w:spacing w:before="0" w:after="0" w:line="240" w:lineRule="auto"/>
        <w:jc w:val="center"/>
        <w:textAlignment w:val="auto"/>
        <w:rPr>
          <w:rFonts w:hint="eastAsia"/>
          <w:color w:val="auto"/>
          <w:u w:val="none" w:color="auto"/>
        </w:rPr>
      </w:pPr>
      <w:r>
        <w:rPr>
          <w:rFonts w:hint="eastAsia" w:ascii="方正小标宋简体" w:hAnsi="方正小标宋简体" w:eastAsia="方正小标宋简体" w:cs="方正小标宋简体"/>
          <w:color w:val="auto"/>
          <w:kern w:val="0"/>
          <w:sz w:val="36"/>
          <w:szCs w:val="36"/>
          <w:u w:val="none" w:color="auto"/>
        </w:rPr>
        <w:t>部门决算情况说明</w:t>
      </w:r>
    </w:p>
    <w:p>
      <w:pPr>
        <w:rPr>
          <w:rFonts w:hint="eastAsia"/>
          <w:color w:val="auto"/>
          <w:u w:val="none" w:color="auto"/>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内蒙古赤峰高新技术产业开发区管理委员会2024年度收入、支出决算总计均为 74680.02万元。与年初预算相比，收、支总计各减少24619.25万元，下降24.79%，变动原因：</w:t>
      </w:r>
      <w:r>
        <w:rPr>
          <w:rFonts w:hint="eastAsia" w:ascii="仿宋_GB2312" w:hAnsi="仿宋_GB2312" w:eastAsia="仿宋_GB2312" w:cs="仿宋_GB2312"/>
          <w:color w:val="auto"/>
          <w:kern w:val="0"/>
          <w:sz w:val="32"/>
          <w:szCs w:val="32"/>
          <w:u w:val="none" w:color="auto"/>
          <w:lang w:eastAsia="zh-CN"/>
        </w:rPr>
        <w:t>有部分项目未完成</w:t>
      </w:r>
      <w:r>
        <w:rPr>
          <w:rFonts w:hint="eastAsia" w:ascii="仿宋_GB2312" w:hAnsi="仿宋_GB2312" w:eastAsia="仿宋_GB2312" w:cs="仿宋_GB2312"/>
          <w:color w:val="auto"/>
          <w:kern w:val="0"/>
          <w:sz w:val="32"/>
          <w:szCs w:val="32"/>
          <w:u w:val="none" w:color="auto"/>
        </w:rPr>
        <w:t>；与上年决算相比，收、支总计各增加 46270.94万元，增长162.87%。其中：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（一）收入决算总计 74680.02万元。包括：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1.本年收入决算合计 74669.72万元。与上年决算相比，增加 46270.43万元，增长 162.93%，变动原因：</w:t>
      </w:r>
      <w:r>
        <w:rPr>
          <w:rFonts w:hint="eastAsia" w:ascii="仿宋_GB2312" w:hAnsi="仿宋_GB2312" w:eastAsia="仿宋_GB2312" w:cs="Times New Roman"/>
          <w:b w:val="0"/>
          <w:bCs w:val="0"/>
          <w:color w:val="auto"/>
          <w:kern w:val="2"/>
          <w:sz w:val="32"/>
          <w:szCs w:val="24"/>
          <w:u w:val="none" w:color="auto"/>
          <w:lang w:val="en-US" w:eastAsia="zh-CN"/>
        </w:rPr>
        <w:t>依据本年度开展工作的现实情况需要，年度新增项目较多，金额较大，如新增：赤峰高新区供水工程和东山产业园道路（给排水管线）建设项目、绿色甲醇制造基地建设、铝基新材料标准化厂房一期建设、有色金属高端新材料产业园建设及铁南大街东通工程等项目建设用地费用等</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2.使用非财政拨款结余（含专用结余）0万元。与上年决算相比，增加0万元，增长0%，变动原因：</w:t>
      </w:r>
      <w:r>
        <w:rPr>
          <w:rFonts w:hint="eastAsia" w:ascii="仿宋_GB2312" w:hAnsi="仿宋_GB2312" w:eastAsia="仿宋_GB2312" w:cs="仿宋_GB2312"/>
          <w:color w:val="auto"/>
          <w:kern w:val="0"/>
          <w:sz w:val="32"/>
          <w:szCs w:val="32"/>
          <w:u w:val="none" w:color="auto"/>
          <w:lang w:eastAsia="zh-CN"/>
        </w:rPr>
        <w:t>不存在此项内容</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3.年初结转和结余 10.30万元。与上年决算相比，增加0.52万元，增长5.28%，变动原因：</w:t>
      </w:r>
      <w:r>
        <w:rPr>
          <w:rFonts w:hint="eastAsia" w:ascii="仿宋_GB2312" w:hAnsi="仿宋_GB2312" w:eastAsia="仿宋_GB2312" w:cs="仿宋_GB2312"/>
          <w:color w:val="auto"/>
          <w:kern w:val="0"/>
          <w:sz w:val="32"/>
          <w:szCs w:val="32"/>
          <w:u w:val="none" w:color="auto"/>
          <w:lang w:eastAsia="zh-CN"/>
        </w:rPr>
        <w:t>上年度部分项目支出进度未达预期，资金未能在当年全部使用完毕，形成结转资金留存至本年</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（二）支出决算总计 74680.02万元。包括：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1.本年支出决算合计 74651.85万元。与上年决算相比，增加 46253.08万元，增长 162.87%，变动原因：</w:t>
      </w:r>
      <w:r>
        <w:rPr>
          <w:rFonts w:hint="eastAsia" w:ascii="仿宋_GB2312" w:hAnsi="仿宋_GB2312" w:eastAsia="仿宋_GB2312" w:cs="Times New Roman"/>
          <w:b w:val="0"/>
          <w:bCs w:val="0"/>
          <w:color w:val="auto"/>
          <w:kern w:val="2"/>
          <w:sz w:val="32"/>
          <w:szCs w:val="24"/>
          <w:u w:val="none" w:color="auto"/>
          <w:lang w:val="en-US" w:eastAsia="zh-CN"/>
        </w:rPr>
        <w:t>依据本年度开展工作的现实情况需要，年度新增项目较多，金额较大，如新增：赤峰高新区供水工程和东山产业园道路（给排水管线）建设项目、绿色甲醇制造基地建设、铝基新材料标准化厂房一期建设、有色金属高端新材料产业园建设及铁南大街东通工程等项目建设用地费用等</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2.结余分配 0万元。结余分配事项：</w:t>
      </w:r>
      <w:r>
        <w:rPr>
          <w:rFonts w:hint="eastAsia" w:ascii="仿宋_GB2312" w:hAnsi="仿宋_GB2312" w:eastAsia="仿宋_GB2312" w:cs="仿宋_GB2312"/>
          <w:color w:val="auto"/>
          <w:kern w:val="0"/>
          <w:sz w:val="32"/>
          <w:szCs w:val="32"/>
          <w:u w:val="none" w:color="auto"/>
          <w:lang w:eastAsia="zh-CN"/>
        </w:rPr>
        <w:t>不存在此项内容</w:t>
      </w:r>
      <w:r>
        <w:rPr>
          <w:rFonts w:hint="eastAsia" w:ascii="仿宋_GB2312" w:hAnsi="仿宋_GB2312" w:eastAsia="仿宋_GB2312" w:cs="仿宋_GB2312"/>
          <w:color w:val="auto"/>
          <w:kern w:val="0"/>
          <w:sz w:val="32"/>
          <w:szCs w:val="32"/>
          <w:u w:val="none" w:color="auto"/>
        </w:rPr>
        <w:t>。与上年决算相比，增加 0万元，增长 0%，变动原因：</w:t>
      </w:r>
      <w:r>
        <w:rPr>
          <w:rFonts w:hint="eastAsia" w:ascii="仿宋_GB2312" w:hAnsi="仿宋_GB2312" w:eastAsia="仿宋_GB2312" w:cs="仿宋_GB2312"/>
          <w:color w:val="auto"/>
          <w:kern w:val="0"/>
          <w:sz w:val="32"/>
          <w:szCs w:val="32"/>
          <w:u w:val="none" w:color="auto"/>
          <w:lang w:eastAsia="zh-CN"/>
        </w:rPr>
        <w:t>不存在此项内容</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3.年末结转和结余 28.16万元。结转和结余事项：</w:t>
      </w:r>
      <w:r>
        <w:rPr>
          <w:rFonts w:hint="eastAsia" w:ascii="仿宋_GB2312" w:hAnsi="仿宋_GB2312" w:eastAsia="仿宋_GB2312" w:cs="Times New Roman"/>
          <w:b w:val="0"/>
          <w:bCs w:val="0"/>
          <w:color w:val="auto"/>
          <w:kern w:val="2"/>
          <w:sz w:val="32"/>
          <w:szCs w:val="24"/>
          <w:u w:val="none" w:color="auto"/>
          <w:lang w:val="en-US" w:eastAsia="zh-CN"/>
        </w:rPr>
        <w:t>驻村补助、住房公积金、养老保险缴费、以及未缴纳建设项目人防费等</w:t>
      </w:r>
      <w:r>
        <w:rPr>
          <w:rFonts w:hint="eastAsia" w:ascii="仿宋_GB2312" w:hAnsi="仿宋_GB2312" w:eastAsia="仿宋_GB2312" w:cs="仿宋_GB2312"/>
          <w:color w:val="auto"/>
          <w:kern w:val="0"/>
          <w:sz w:val="32"/>
          <w:szCs w:val="32"/>
          <w:u w:val="none" w:color="auto"/>
        </w:rPr>
        <w:t>。与上年决算相比，增加 17.86万元，增长 173.40%，变动原因：</w:t>
      </w:r>
      <w:r>
        <w:rPr>
          <w:rFonts w:hint="eastAsia" w:ascii="仿宋_GB2312" w:hAnsi="仿宋_GB2312" w:eastAsia="仿宋_GB2312" w:cs="Times New Roman"/>
          <w:b w:val="0"/>
          <w:bCs w:val="0"/>
          <w:color w:val="auto"/>
          <w:kern w:val="2"/>
          <w:sz w:val="32"/>
          <w:szCs w:val="24"/>
          <w:u w:val="none" w:color="auto"/>
          <w:lang w:val="en-US" w:eastAsia="zh-CN"/>
        </w:rPr>
        <w:t>驻村补助、住房公积金、养老保险缴费、以及未缴纳建设项目人防费等</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内蒙古赤峰高新技术产业开发区管理委员会 2024年度本年收入决算合计 74669.72万元，其中：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本年一般公共预算财政拨款收入 60705.75万元，占 81.30%；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本年政府性基金预算财政拨款收入 13963.97万元，占 18.70%；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本年国有资本经营预算财政拨款收入 0万元，占 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本年上级补助收入 0万元，占 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本年事业收入 0万元，占 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本年经营收入 0万元，占 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本年附属单位上缴收入 0万元，占 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本年其他收入 0万元，占 0%。</w:t>
      </w:r>
    </w:p>
    <w:p>
      <w:pPr>
        <w:widowControl/>
        <w:spacing w:before="240" w:after="240"/>
        <w:rPr>
          <w:rFonts w:ascii="Times New Roman" w:hAnsi="Times New Roman" w:eastAsia="Times New Roman" w:cs="Times New Roman"/>
          <w:color w:val="auto"/>
          <w:kern w:val="0"/>
          <w:sz w:val="24"/>
          <w:u w:val="none" w:color="auto"/>
        </w:rPr>
      </w:pPr>
    </w:p>
    <w:p>
      <w:pPr>
        <w:widowControl/>
        <w:spacing w:before="240" w:after="240"/>
        <w:jc w:val="center"/>
        <w:rPr>
          <w:rFonts w:ascii="Times New Roman" w:hAnsi="Times New Roman" w:eastAsia="Times New Roman" w:cs="Times New Roman"/>
          <w:color w:val="auto"/>
          <w:kern w:val="0"/>
          <w:sz w:val="24"/>
          <w:u w:val="none" w:color="auto"/>
        </w:rPr>
      </w:pPr>
      <w:r>
        <w:rPr>
          <w:rFonts w:ascii="Times New Roman" w:hAnsi="Times New Roman" w:eastAsia="Times New Roman" w:cs="Times New Roman"/>
          <w:strike w:val="0"/>
          <w:color w:val="auto"/>
          <w:kern w:val="0"/>
          <w:sz w:val="24"/>
          <w:u w:val="none" w:color="auto"/>
        </w:rPr>
        <w:drawing>
          <wp:inline distT="0" distB="0" distL="114300" distR="114300">
            <wp:extent cx="5725160" cy="3578225"/>
            <wp:effectExtent l="0" t="0" r="8890" b="317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5725160" cy="3578225"/>
                    </a:xfrm>
                    <a:prstGeom prst="rect">
                      <a:avLst/>
                    </a:prstGeom>
                    <a:noFill/>
                    <a:ln>
                      <a:noFill/>
                    </a:ln>
                  </pic:spPr>
                </pic:pic>
              </a:graphicData>
            </a:graphic>
          </wp:inline>
        </w:drawing>
      </w:r>
      <w:r>
        <w:rPr>
          <w:rFonts w:ascii="Times New Roman" w:hAnsi="Times New Roman" w:eastAsia="Times New Roman" w:cs="Times New Roman"/>
          <w:color w:val="auto"/>
          <w:kern w:val="0"/>
          <w:sz w:val="24"/>
          <w:u w:val="none" w:color="auto"/>
        </w:rPr>
        <w:t xml:space="preserve">  </w:t>
      </w:r>
    </w:p>
    <w:p>
      <w:pPr>
        <w:widowControl/>
        <w:spacing w:before="240" w:after="240"/>
        <w:jc w:val="center"/>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图1.收入决算图</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b w:val="0"/>
          <w:bCs w:val="0"/>
          <w:color w:val="auto"/>
          <w:kern w:val="0"/>
          <w:sz w:val="32"/>
          <w:szCs w:val="32"/>
          <w:u w:val="none" w:color="auto"/>
        </w:rPr>
      </w:pPr>
      <w:r>
        <w:rPr>
          <w:rFonts w:ascii="黑体" w:hAnsi="黑体" w:eastAsia="黑体" w:cs="黑体"/>
          <w:b w:val="0"/>
          <w:bCs w:val="0"/>
          <w:color w:val="auto"/>
          <w:kern w:val="0"/>
          <w:sz w:val="32"/>
          <w:szCs w:val="32"/>
          <w:u w:val="none" w:color="auto"/>
        </w:rPr>
        <w:t>支出决算情况说明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内蒙古赤峰高新技术产业开发区管理委员会 2024年度本年支出决算合计 74651.85万元，其中：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本年基本支出 488.84万元，占 0.65%；</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本年项目支出 74163.01万元，占 99.35%；</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本年上缴上级支出 0万元，占 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本年经营支出 0万元，占 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Times New Roman" w:cs="Times New Roman"/>
          <w:color w:val="auto"/>
          <w:kern w:val="0"/>
          <w:sz w:val="24"/>
          <w:u w:val="none" w:color="auto"/>
        </w:rPr>
      </w:pPr>
      <w:r>
        <w:rPr>
          <w:rFonts w:hint="eastAsia" w:ascii="仿宋_GB2312" w:hAnsi="仿宋_GB2312" w:eastAsia="仿宋_GB2312" w:cs="仿宋_GB2312"/>
          <w:color w:val="auto"/>
          <w:kern w:val="0"/>
          <w:sz w:val="32"/>
          <w:szCs w:val="32"/>
          <w:u w:val="none" w:color="auto"/>
        </w:rPr>
        <w:t>本年对附属单位补助支出 0万元，占 0%。</w:t>
      </w:r>
    </w:p>
    <w:p>
      <w:pPr>
        <w:widowControl/>
        <w:spacing w:before="240" w:after="240"/>
        <w:rPr>
          <w:rFonts w:ascii="Times New Roman" w:hAnsi="Times New Roman" w:eastAsia="Times New Roman" w:cs="Times New Roman"/>
          <w:color w:val="auto"/>
          <w:kern w:val="0"/>
          <w:sz w:val="24"/>
          <w:u w:val="none" w:color="auto"/>
        </w:rPr>
      </w:pPr>
    </w:p>
    <w:p>
      <w:pPr>
        <w:widowControl/>
        <w:spacing w:before="240" w:after="240"/>
        <w:jc w:val="center"/>
        <w:rPr>
          <w:rFonts w:ascii="Times New Roman" w:hAnsi="Times New Roman" w:eastAsia="Times New Roman" w:cs="Times New Roman"/>
          <w:color w:val="auto"/>
          <w:kern w:val="0"/>
          <w:sz w:val="24"/>
          <w:u w:val="none" w:color="auto"/>
        </w:rPr>
      </w:pPr>
      <w:r>
        <w:rPr>
          <w:rFonts w:ascii="Times New Roman" w:hAnsi="Times New Roman" w:eastAsia="Times New Roman" w:cs="Times New Roman"/>
          <w:strike w:val="0"/>
          <w:color w:val="auto"/>
          <w:kern w:val="0"/>
          <w:sz w:val="24"/>
          <w:u w:val="none" w:color="auto"/>
        </w:rPr>
        <w:pict>
          <v:shape id="_x0000_i1025" o:spt="75" type="#_x0000_t75" style="height:271.9pt;width:435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color w:val="auto"/>
          <w:kern w:val="0"/>
          <w:sz w:val="24"/>
          <w:u w:val="none" w:color="auto"/>
        </w:rPr>
        <w:t xml:space="preserve">  </w:t>
      </w:r>
    </w:p>
    <w:p>
      <w:pPr>
        <w:widowControl/>
        <w:spacing w:before="240" w:after="240"/>
        <w:jc w:val="center"/>
        <w:rPr>
          <w:rFonts w:ascii="Times New Roman" w:hAnsi="Times New Roman" w:eastAsia="Times New Roman" w:cs="Times New Roman"/>
          <w:color w:val="auto"/>
          <w:kern w:val="0"/>
          <w:sz w:val="24"/>
          <w:u w:val="none" w:color="auto"/>
        </w:rPr>
      </w:pPr>
      <w:r>
        <w:rPr>
          <w:rFonts w:ascii="仿宋_GB2312" w:hAnsi="仿宋_GB2312" w:eastAsia="仿宋_GB2312" w:cs="仿宋_GB2312"/>
          <w:color w:val="auto"/>
          <w:kern w:val="0"/>
          <w:sz w:val="32"/>
          <w:szCs w:val="32"/>
          <w:u w:val="none" w:color="auto"/>
        </w:rPr>
        <w:t>图2.支出决算图</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内蒙古赤峰高新技术产业开发区管理委员会 2024年度财政拨款收入、支出决算总计均为 74680.02万元，与年初预算相比，收、支总计各减少 24619.25万元，下降 24.79%，变动原因：</w:t>
      </w:r>
      <w:r>
        <w:rPr>
          <w:rFonts w:hint="eastAsia" w:ascii="仿宋_GB2312" w:hAnsi="仿宋_GB2312" w:eastAsia="仿宋_GB2312" w:cs="仿宋_GB2312"/>
          <w:color w:val="auto"/>
          <w:kern w:val="0"/>
          <w:sz w:val="32"/>
          <w:szCs w:val="32"/>
          <w:u w:val="none" w:color="auto"/>
          <w:lang w:eastAsia="zh-CN"/>
        </w:rPr>
        <w:t>有部分项目未完成</w:t>
      </w:r>
      <w:r>
        <w:rPr>
          <w:rFonts w:hint="eastAsia" w:ascii="仿宋_GB2312" w:hAnsi="仿宋_GB2312" w:eastAsia="仿宋_GB2312" w:cs="仿宋_GB2312"/>
          <w:color w:val="auto"/>
          <w:kern w:val="0"/>
          <w:sz w:val="32"/>
          <w:szCs w:val="32"/>
          <w:u w:val="none" w:color="auto"/>
        </w:rPr>
        <w:t>；与上年决算相比，收、支总计各增加 46270.94万元，增长 162.87%，变动原因：</w:t>
      </w:r>
      <w:r>
        <w:rPr>
          <w:rFonts w:hint="eastAsia" w:ascii="仿宋_GB2312" w:hAnsi="仿宋_GB2312" w:eastAsia="仿宋_GB2312" w:cs="Times New Roman"/>
          <w:b w:val="0"/>
          <w:bCs w:val="0"/>
          <w:color w:val="auto"/>
          <w:kern w:val="2"/>
          <w:sz w:val="32"/>
          <w:szCs w:val="24"/>
          <w:u w:val="none" w:color="auto"/>
          <w:lang w:val="en-US" w:eastAsia="zh-CN"/>
        </w:rPr>
        <w:t>依据本年度开展工作的现实情况需要，年度新增项目较多，金额较大，如：赤峰高新区供水工程和东山产业园道路（给排水管线）建设项目、绿色甲醇制造基地建设、铝基新材料标准化厂房一期建设、有色金属高端新材料产业园建设及铁南大街东通工程等项目建设用地费用等</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内蒙古赤峰高新技术产业开发区管理委员会 2024年度一般公共预算财政拨款支出决算 60687.88万元。与年初预算 9487.26万元相比，完成年初预算的 639.68%。其中：</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（一）一般公共服务（类）</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 xml:space="preserve"> 一般公共服务（类）决算数为 2633.11万元，与年初预算相比减少 1595.91万元。其中：</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u w:val="none" w:color="auto"/>
          <w:lang w:eastAsia="zh-CN"/>
        </w:rPr>
      </w:pPr>
      <w:r>
        <w:rPr>
          <w:rFonts w:hint="eastAsia" w:ascii="仿宋_GB2312" w:hAnsi="仿宋_GB2312" w:eastAsia="仿宋_GB2312" w:cs="仿宋_GB2312"/>
          <w:color w:val="auto"/>
          <w:kern w:val="0"/>
          <w:sz w:val="32"/>
          <w:szCs w:val="32"/>
          <w:u w:val="none" w:color="auto"/>
          <w:lang w:val="en-US" w:eastAsia="zh-CN"/>
        </w:rPr>
        <w:t>1.</w:t>
      </w:r>
      <w:r>
        <w:rPr>
          <w:rFonts w:hint="eastAsia" w:ascii="仿宋_GB2312" w:hAnsi="仿宋_GB2312" w:eastAsia="仿宋_GB2312" w:cs="仿宋_GB2312"/>
          <w:color w:val="auto"/>
          <w:kern w:val="0"/>
          <w:sz w:val="32"/>
          <w:szCs w:val="32"/>
          <w:u w:val="none" w:color="auto"/>
          <w:lang w:eastAsia="zh-CN"/>
        </w:rPr>
        <w:t>政府办公厅(室)及相关机构事务（款）行政运行（项）</w:t>
      </w:r>
      <w:r>
        <w:rPr>
          <w:rFonts w:hint="eastAsia" w:ascii="仿宋_GB2312" w:hAnsi="仿宋_GB2312" w:eastAsia="仿宋_GB2312" w:cs="仿宋_GB2312"/>
          <w:color w:val="auto"/>
          <w:kern w:val="0"/>
          <w:sz w:val="32"/>
          <w:szCs w:val="32"/>
          <w:u w:val="none" w:color="auto"/>
        </w:rPr>
        <w:t>。年初预算</w:t>
      </w:r>
      <w:r>
        <w:rPr>
          <w:rFonts w:hint="eastAsia" w:ascii="仿宋_GB2312" w:hAnsi="仿宋_GB2312" w:eastAsia="仿宋_GB2312" w:cs="仿宋_GB2312"/>
          <w:color w:val="auto"/>
          <w:kern w:val="0"/>
          <w:sz w:val="32"/>
          <w:szCs w:val="32"/>
          <w:u w:val="none" w:color="auto"/>
          <w:lang w:val="en-US" w:eastAsia="zh-CN"/>
        </w:rPr>
        <w:t>292.65</w:t>
      </w:r>
      <w:r>
        <w:rPr>
          <w:rFonts w:hint="eastAsia" w:ascii="仿宋_GB2312" w:hAnsi="仿宋_GB2312" w:eastAsia="仿宋_GB2312" w:cs="仿宋_GB2312"/>
          <w:color w:val="auto"/>
          <w:kern w:val="0"/>
          <w:sz w:val="32"/>
          <w:szCs w:val="32"/>
          <w:u w:val="none" w:color="auto"/>
        </w:rPr>
        <w:t>万元，支出决算</w:t>
      </w:r>
      <w:r>
        <w:rPr>
          <w:rFonts w:hint="eastAsia" w:ascii="仿宋_GB2312" w:hAnsi="仿宋_GB2312" w:eastAsia="仿宋_GB2312" w:cs="仿宋_GB2312"/>
          <w:color w:val="auto"/>
          <w:kern w:val="0"/>
          <w:sz w:val="32"/>
          <w:szCs w:val="32"/>
          <w:u w:val="none" w:color="auto"/>
          <w:lang w:val="en-US" w:eastAsia="zh-CN"/>
        </w:rPr>
        <w:t>254.21</w:t>
      </w:r>
      <w:r>
        <w:rPr>
          <w:rFonts w:hint="eastAsia" w:ascii="仿宋_GB2312" w:hAnsi="仿宋_GB2312" w:eastAsia="仿宋_GB2312" w:cs="仿宋_GB2312"/>
          <w:color w:val="auto"/>
          <w:kern w:val="0"/>
          <w:sz w:val="32"/>
          <w:szCs w:val="32"/>
          <w:u w:val="none" w:color="auto"/>
        </w:rPr>
        <w:t>万元，完成年初预算的</w:t>
      </w:r>
      <w:r>
        <w:rPr>
          <w:rFonts w:hint="eastAsia" w:ascii="仿宋_GB2312" w:hAnsi="仿宋_GB2312" w:eastAsia="仿宋_GB2312" w:cs="仿宋_GB2312"/>
          <w:color w:val="auto"/>
          <w:kern w:val="0"/>
          <w:sz w:val="32"/>
          <w:szCs w:val="32"/>
          <w:u w:val="none" w:color="auto"/>
          <w:lang w:val="en-US" w:eastAsia="zh-CN"/>
        </w:rPr>
        <w:t>86.86</w:t>
      </w:r>
      <w:r>
        <w:rPr>
          <w:rFonts w:hint="eastAsia" w:ascii="仿宋_GB2312" w:hAnsi="仿宋_GB2312" w:eastAsia="仿宋_GB2312" w:cs="仿宋_GB2312"/>
          <w:color w:val="auto"/>
          <w:kern w:val="0"/>
          <w:sz w:val="32"/>
          <w:szCs w:val="32"/>
          <w:u w:val="none" w:color="auto"/>
        </w:rPr>
        <w:t>%。决算数与年初预算数的差异原因：</w:t>
      </w:r>
      <w:r>
        <w:rPr>
          <w:rFonts w:hint="eastAsia" w:ascii="仿宋_GB2312" w:hAnsi="仿宋_GB2312" w:eastAsia="仿宋_GB2312" w:cs="仿宋_GB2312"/>
          <w:color w:val="auto"/>
          <w:kern w:val="0"/>
          <w:sz w:val="32"/>
          <w:szCs w:val="32"/>
          <w:u w:val="none" w:color="auto"/>
          <w:lang w:eastAsia="zh-CN"/>
        </w:rPr>
        <w:t>由于人员变动以及工资调整等因素导致。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t>2.政府办公厅(室)及相关机构事务（款）一般行政管理事务（项）。年初预算3857.02万元，支出决算1751.02万元，完成年初预算的45.4%。决算数与年初预算数的差异原因：部分项目未达到付款条件。</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3.政府办公厅(室)及相关机构事务（款）事业运行（项）。年初预算72.48万元，支出决算108.94万元，完成预算的150.3%。决算数与年初预算数的差异原因：由于人员变动以及工资调整等因素导致。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t>4.发展与改革事务（款）其他发展与改革事务支出（项）。年初预算0万元，支出决算500万元。决算数与年初预算数的差异原因：年度中间追加的预算项目为2024年自治区预算内基本建设投资预算。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t>5.组织事务（款）公务员事务（项）。年初预算0.45万元，支出决算0.45万元，完成年初预算的100%。决算数与年初预算数的差异原因：此项无差异。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t>6.其他共产党事务支出（款）其他共产党事务支出（项）。年初预算1.2万元，支出决算13.75万元，完成预算的1145.83%，决算数与年初预算数的差异原因：年度中间追加新增预算项目为2024年自治区非公有制企业和社会组织党组织建设补助资金。</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lang w:val="en-US" w:eastAsia="zh-CN"/>
        </w:rPr>
        <w:t>7.其他一般公用服务支出（款）其他一般公用服务支出（项）。年初预算5.22万元，支出决算4.74万元，完成预算的90.8</w:t>
      </w:r>
      <w:r>
        <w:rPr>
          <w:rFonts w:hint="eastAsia" w:ascii="仿宋_GB2312" w:hAnsi="仿宋_GB2312" w:eastAsia="仿宋_GB2312" w:cs="仿宋_GB2312"/>
          <w:color w:val="auto"/>
          <w:kern w:val="0"/>
          <w:sz w:val="32"/>
          <w:szCs w:val="32"/>
          <w:u w:val="none" w:color="auto"/>
        </w:rPr>
        <w:t>%</w:t>
      </w:r>
      <w:r>
        <w:rPr>
          <w:rFonts w:hint="eastAsia" w:ascii="仿宋_GB2312" w:hAnsi="仿宋_GB2312" w:eastAsia="仿宋_GB2312" w:cs="仿宋_GB2312"/>
          <w:color w:val="auto"/>
          <w:kern w:val="0"/>
          <w:sz w:val="32"/>
          <w:szCs w:val="32"/>
          <w:u w:val="none" w:color="auto"/>
          <w:lang w:val="en-US" w:eastAsia="zh-CN"/>
        </w:rPr>
        <w:t>，决算数与年初预算数的差异原因：项目实施中优化采购流程、严控成本支出所致。</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lang w:eastAsia="zh-CN"/>
        </w:rPr>
        <w:t>（二）</w:t>
      </w:r>
      <w:r>
        <w:rPr>
          <w:rFonts w:hint="eastAsia" w:ascii="楷体_GB2312" w:hAnsi="楷体_GB2312" w:eastAsia="楷体_GB2312" w:cs="楷体_GB2312"/>
          <w:b w:val="0"/>
          <w:bCs w:val="0"/>
          <w:color w:val="auto"/>
          <w:kern w:val="0"/>
          <w:sz w:val="32"/>
          <w:szCs w:val="32"/>
          <w:u w:val="none" w:color="auto"/>
        </w:rPr>
        <w:t>社会保障和就业支出（类）</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社会保障和就业支出（类）决算数为 58.15万元，与年初预算相比增加 11.35万元。其中：</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eastAsia="仿宋_GB2312"/>
          <w:color w:val="auto"/>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t>1.人力资源和社会保障管理事务（款）其他人力资源和社会保障管理事务支出（项）。年初预算0万元，支出决算2万元，决算数与年初预算数的差异原因：</w:t>
      </w:r>
      <w:r>
        <w:rPr>
          <w:rFonts w:hint="eastAsia" w:ascii="仿宋_GB2312" w:hAnsi="仿宋_GB2312" w:eastAsia="仿宋_GB2312" w:cs="仿宋_GB2312"/>
          <w:color w:val="auto"/>
          <w:kern w:val="0"/>
          <w:sz w:val="32"/>
          <w:szCs w:val="32"/>
          <w:u w:val="none" w:color="auto"/>
          <w:lang w:eastAsia="zh-CN"/>
        </w:rPr>
        <w:t>年度中间追加新增预算项目为引进人才专项补贴资金</w:t>
      </w:r>
      <w:r>
        <w:rPr>
          <w:rFonts w:hint="eastAsia" w:ascii="仿宋_GB2312" w:hAnsi="仿宋_GB2312" w:eastAsia="仿宋_GB2312" w:cs="仿宋_GB2312"/>
          <w:color w:val="auto"/>
          <w:kern w:val="0"/>
          <w:sz w:val="32"/>
          <w:szCs w:val="32"/>
          <w:u w:val="none" w:color="auto"/>
          <w:lang w:val="en-US" w:eastAsia="zh-CN"/>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lang w:val="en-US" w:eastAsia="zh-CN"/>
        </w:rPr>
        <w:t>2.</w:t>
      </w:r>
      <w:r>
        <w:rPr>
          <w:rFonts w:hint="eastAsia" w:ascii="仿宋_GB2312" w:hAnsi="仿宋_GB2312" w:eastAsia="仿宋_GB2312" w:cs="仿宋_GB2312"/>
          <w:color w:val="auto"/>
          <w:kern w:val="0"/>
          <w:sz w:val="32"/>
          <w:szCs w:val="32"/>
          <w:u w:val="none" w:color="auto"/>
        </w:rPr>
        <w:t>行政事业单位养老支出（款）机关事业单位基本养老保险缴费支出（项）。年初预算</w:t>
      </w:r>
      <w:r>
        <w:rPr>
          <w:rFonts w:hint="eastAsia" w:ascii="仿宋_GB2312" w:hAnsi="仿宋_GB2312" w:eastAsia="仿宋_GB2312" w:cs="仿宋_GB2312"/>
          <w:color w:val="auto"/>
          <w:kern w:val="0"/>
          <w:sz w:val="32"/>
          <w:szCs w:val="32"/>
          <w:u w:val="none" w:color="auto"/>
          <w:lang w:val="en-US" w:eastAsia="zh-CN"/>
        </w:rPr>
        <w:t>45.58</w:t>
      </w:r>
      <w:r>
        <w:rPr>
          <w:rFonts w:hint="eastAsia" w:ascii="仿宋_GB2312" w:hAnsi="仿宋_GB2312" w:eastAsia="仿宋_GB2312" w:cs="仿宋_GB2312"/>
          <w:color w:val="auto"/>
          <w:kern w:val="0"/>
          <w:sz w:val="32"/>
          <w:szCs w:val="32"/>
          <w:u w:val="none" w:color="auto"/>
        </w:rPr>
        <w:t>万元，支出决算</w:t>
      </w:r>
      <w:r>
        <w:rPr>
          <w:rFonts w:hint="eastAsia" w:ascii="仿宋_GB2312" w:hAnsi="仿宋_GB2312" w:eastAsia="仿宋_GB2312" w:cs="仿宋_GB2312"/>
          <w:color w:val="auto"/>
          <w:kern w:val="0"/>
          <w:sz w:val="32"/>
          <w:szCs w:val="32"/>
          <w:u w:val="none" w:color="auto"/>
          <w:lang w:val="en-US" w:eastAsia="zh-CN"/>
        </w:rPr>
        <w:t>44.94</w:t>
      </w:r>
      <w:r>
        <w:rPr>
          <w:rFonts w:hint="eastAsia" w:ascii="仿宋_GB2312" w:hAnsi="仿宋_GB2312" w:eastAsia="仿宋_GB2312" w:cs="仿宋_GB2312"/>
          <w:color w:val="auto"/>
          <w:kern w:val="0"/>
          <w:sz w:val="32"/>
          <w:szCs w:val="32"/>
          <w:u w:val="none" w:color="auto"/>
        </w:rPr>
        <w:t>万元，完成年初预算的</w:t>
      </w:r>
      <w:r>
        <w:rPr>
          <w:rFonts w:hint="eastAsia" w:ascii="仿宋_GB2312" w:hAnsi="仿宋_GB2312" w:eastAsia="仿宋_GB2312" w:cs="仿宋_GB2312"/>
          <w:color w:val="auto"/>
          <w:kern w:val="0"/>
          <w:sz w:val="32"/>
          <w:szCs w:val="32"/>
          <w:u w:val="none" w:color="auto"/>
          <w:lang w:val="en-US" w:eastAsia="zh-CN"/>
        </w:rPr>
        <w:t>98.6</w:t>
      </w:r>
      <w:r>
        <w:rPr>
          <w:rFonts w:hint="eastAsia" w:ascii="仿宋_GB2312" w:hAnsi="仿宋_GB2312" w:eastAsia="仿宋_GB2312" w:cs="仿宋_GB2312"/>
          <w:color w:val="auto"/>
          <w:kern w:val="0"/>
          <w:sz w:val="32"/>
          <w:szCs w:val="32"/>
          <w:u w:val="none" w:color="auto"/>
        </w:rPr>
        <w:t>%。决算数与年初预算数的差异原因：</w:t>
      </w:r>
      <w:r>
        <w:rPr>
          <w:rFonts w:hint="eastAsia" w:ascii="仿宋_GB2312" w:hAnsi="仿宋_GB2312" w:eastAsia="仿宋_GB2312" w:cs="仿宋_GB2312"/>
          <w:color w:val="auto"/>
          <w:kern w:val="0"/>
          <w:sz w:val="32"/>
          <w:szCs w:val="32"/>
          <w:u w:val="none" w:color="auto"/>
          <w:lang w:eastAsia="zh-CN"/>
        </w:rPr>
        <w:t>本年度因人员变动导致</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 </w:t>
      </w:r>
      <w:r>
        <w:rPr>
          <w:rFonts w:hint="eastAsia" w:ascii="仿宋_GB2312" w:hAnsi="仿宋_GB2312" w:eastAsia="仿宋_GB2312" w:cs="仿宋_GB2312"/>
          <w:color w:val="auto"/>
          <w:kern w:val="0"/>
          <w:sz w:val="32"/>
          <w:szCs w:val="32"/>
          <w:u w:val="none" w:color="auto"/>
          <w:lang w:val="en-US" w:eastAsia="zh-CN"/>
        </w:rPr>
        <w:t>3.</w:t>
      </w:r>
      <w:r>
        <w:rPr>
          <w:rFonts w:hint="eastAsia" w:ascii="仿宋_GB2312" w:hAnsi="仿宋_GB2312" w:eastAsia="仿宋_GB2312" w:cs="仿宋_GB2312"/>
          <w:color w:val="auto"/>
          <w:kern w:val="0"/>
          <w:sz w:val="32"/>
          <w:szCs w:val="32"/>
          <w:u w:val="none" w:color="auto"/>
        </w:rPr>
        <w:t>行政事业单位养老支出（款）机关事业单位职业年金缴费支出（项）。年初预算</w:t>
      </w:r>
      <w:r>
        <w:rPr>
          <w:rFonts w:hint="eastAsia" w:ascii="仿宋_GB2312" w:hAnsi="仿宋_GB2312" w:eastAsia="仿宋_GB2312" w:cs="仿宋_GB2312"/>
          <w:color w:val="auto"/>
          <w:kern w:val="0"/>
          <w:sz w:val="32"/>
          <w:szCs w:val="32"/>
          <w:u w:val="none" w:color="auto"/>
          <w:lang w:val="en-US" w:eastAsia="zh-CN"/>
        </w:rPr>
        <w:t>0</w:t>
      </w:r>
      <w:r>
        <w:rPr>
          <w:rFonts w:hint="eastAsia" w:ascii="仿宋_GB2312" w:hAnsi="仿宋_GB2312" w:eastAsia="仿宋_GB2312" w:cs="仿宋_GB2312"/>
          <w:color w:val="auto"/>
          <w:kern w:val="0"/>
          <w:sz w:val="32"/>
          <w:szCs w:val="32"/>
          <w:u w:val="none" w:color="auto"/>
        </w:rPr>
        <w:t>万元，支出决算</w:t>
      </w:r>
      <w:r>
        <w:rPr>
          <w:rFonts w:hint="eastAsia" w:ascii="仿宋_GB2312" w:hAnsi="仿宋_GB2312" w:eastAsia="仿宋_GB2312" w:cs="仿宋_GB2312"/>
          <w:color w:val="auto"/>
          <w:kern w:val="0"/>
          <w:sz w:val="32"/>
          <w:szCs w:val="32"/>
          <w:u w:val="none" w:color="auto"/>
          <w:lang w:val="en-US" w:eastAsia="zh-CN"/>
        </w:rPr>
        <w:t>9.9</w:t>
      </w:r>
      <w:r>
        <w:rPr>
          <w:rFonts w:hint="eastAsia" w:ascii="仿宋_GB2312" w:hAnsi="仿宋_GB2312" w:eastAsia="仿宋_GB2312" w:cs="仿宋_GB2312"/>
          <w:color w:val="auto"/>
          <w:kern w:val="0"/>
          <w:sz w:val="32"/>
          <w:szCs w:val="32"/>
          <w:u w:val="none" w:color="auto"/>
        </w:rPr>
        <w:t>万元。决算数与年初预算数的差异原因：</w:t>
      </w:r>
      <w:r>
        <w:rPr>
          <w:rFonts w:hint="eastAsia" w:ascii="仿宋_GB2312" w:hAnsi="仿宋_GB2312" w:eastAsia="仿宋_GB2312" w:cs="仿宋_GB2312"/>
          <w:color w:val="auto"/>
          <w:kern w:val="0"/>
          <w:sz w:val="32"/>
          <w:szCs w:val="32"/>
          <w:u w:val="none" w:color="auto"/>
          <w:lang w:eastAsia="zh-CN"/>
        </w:rPr>
        <w:t>本年度有一行政人员退休，涉及职业年金虚账做实资金</w:t>
      </w:r>
      <w:r>
        <w:rPr>
          <w:rFonts w:hint="eastAsia" w:ascii="仿宋_GB2312" w:hAnsi="仿宋_GB2312" w:eastAsia="仿宋_GB2312" w:cs="仿宋_GB2312"/>
          <w:color w:val="auto"/>
          <w:kern w:val="0"/>
          <w:sz w:val="32"/>
          <w:szCs w:val="32"/>
          <w:u w:val="none" w:color="auto"/>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eastAsia="仿宋_GB2312"/>
          <w:color w:val="auto"/>
          <w:u w:val="none" w:color="auto"/>
          <w:lang w:val="en-US" w:eastAsia="zh-CN"/>
        </w:rPr>
      </w:pPr>
      <w:r>
        <w:rPr>
          <w:rFonts w:hint="eastAsia" w:ascii="仿宋_GB2312" w:hAnsi="仿宋_GB2312" w:eastAsia="仿宋_GB2312" w:cs="仿宋_GB2312"/>
          <w:color w:val="auto"/>
          <w:kern w:val="0"/>
          <w:sz w:val="32"/>
          <w:szCs w:val="32"/>
          <w:u w:val="none" w:color="auto"/>
          <w:lang w:val="en-US" w:eastAsia="zh-CN"/>
        </w:rPr>
        <w:t>4.其他社会保障和就业支出（款）其他社会保障和就业支出（项）。年初预算1.14万元，支出决算1.31万元，完成预算的114.91%。决算数与年初预算数的差异原因：年度中间有新调入人员，在职人数增加导致其他社会保障和就业支出较年初有所增加。</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三</w:t>
      </w:r>
      <w:r>
        <w:rPr>
          <w:rFonts w:hint="eastAsia" w:ascii="楷体_GB2312" w:hAnsi="楷体_GB2312" w:eastAsia="楷体_GB2312" w:cs="楷体_GB2312"/>
          <w:b w:val="0"/>
          <w:bCs w:val="0"/>
          <w:color w:val="auto"/>
          <w:kern w:val="0"/>
          <w:sz w:val="32"/>
          <w:szCs w:val="32"/>
          <w:u w:val="none" w:color="auto"/>
        </w:rPr>
        <w:t>）卫生健康支出（类）</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卫生健康支出（类）决算数为 23.62万元，与年初预算相比减少 0.3</w:t>
      </w:r>
      <w:r>
        <w:rPr>
          <w:rFonts w:hint="eastAsia" w:ascii="仿宋_GB2312" w:hAnsi="仿宋_GB2312" w:eastAsia="仿宋_GB2312" w:cs="仿宋_GB2312"/>
          <w:color w:val="auto"/>
          <w:kern w:val="0"/>
          <w:sz w:val="32"/>
          <w:szCs w:val="32"/>
          <w:u w:val="none" w:color="auto"/>
          <w:lang w:val="en-US" w:eastAsia="zh-CN"/>
        </w:rPr>
        <w:t>1</w:t>
      </w:r>
      <w:r>
        <w:rPr>
          <w:rFonts w:hint="eastAsia" w:ascii="仿宋_GB2312" w:hAnsi="仿宋_GB2312" w:eastAsia="仿宋_GB2312" w:cs="仿宋_GB2312"/>
          <w:color w:val="auto"/>
          <w:kern w:val="0"/>
          <w:sz w:val="32"/>
          <w:szCs w:val="32"/>
          <w:u w:val="none" w:color="auto"/>
        </w:rPr>
        <w:t>万元。其中：</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1.</w:t>
      </w:r>
      <w:r>
        <w:rPr>
          <w:rFonts w:hint="eastAsia" w:ascii="仿宋_GB2312" w:hAnsi="仿宋_GB2312" w:eastAsia="仿宋_GB2312" w:cs="仿宋_GB2312"/>
          <w:color w:val="auto"/>
          <w:sz w:val="32"/>
          <w:szCs w:val="32"/>
          <w:u w:val="none" w:color="auto"/>
        </w:rPr>
        <w:t>行政事业单位医疗（款）行政单位医疗（项）。年初预算</w:t>
      </w:r>
      <w:r>
        <w:rPr>
          <w:rFonts w:hint="eastAsia" w:ascii="仿宋_GB2312" w:hAnsi="仿宋_GB2312" w:eastAsia="仿宋_GB2312" w:cs="仿宋_GB2312"/>
          <w:color w:val="auto"/>
          <w:kern w:val="0"/>
          <w:sz w:val="32"/>
          <w:szCs w:val="32"/>
          <w:u w:val="none" w:color="auto"/>
          <w:lang w:val="en-US" w:eastAsia="zh-CN"/>
        </w:rPr>
        <w:t>16.38</w:t>
      </w:r>
      <w:r>
        <w:rPr>
          <w:rFonts w:hint="eastAsia" w:ascii="仿宋_GB2312" w:hAnsi="仿宋_GB2312" w:eastAsia="仿宋_GB2312" w:cs="仿宋_GB2312"/>
          <w:color w:val="auto"/>
          <w:sz w:val="32"/>
          <w:szCs w:val="32"/>
          <w:u w:val="none" w:color="auto"/>
        </w:rPr>
        <w:t>万元，支出决算</w:t>
      </w:r>
      <w:r>
        <w:rPr>
          <w:rFonts w:hint="eastAsia" w:ascii="仿宋_GB2312" w:hAnsi="仿宋_GB2312" w:eastAsia="仿宋_GB2312" w:cs="仿宋_GB2312"/>
          <w:color w:val="auto"/>
          <w:kern w:val="0"/>
          <w:sz w:val="32"/>
          <w:szCs w:val="32"/>
          <w:u w:val="none" w:color="auto"/>
          <w:lang w:val="en-US" w:eastAsia="zh-CN"/>
        </w:rPr>
        <w:t>13.61</w:t>
      </w:r>
      <w:r>
        <w:rPr>
          <w:rFonts w:hint="eastAsia" w:ascii="仿宋_GB2312" w:hAnsi="仿宋_GB2312" w:eastAsia="仿宋_GB2312" w:cs="仿宋_GB2312"/>
          <w:color w:val="auto"/>
          <w:sz w:val="32"/>
          <w:szCs w:val="32"/>
          <w:u w:val="none" w:color="auto"/>
        </w:rPr>
        <w:t>万元，完成年初预算的</w:t>
      </w:r>
      <w:r>
        <w:rPr>
          <w:rFonts w:hint="eastAsia" w:ascii="仿宋_GB2312" w:hAnsi="仿宋_GB2312" w:eastAsia="仿宋_GB2312" w:cs="仿宋_GB2312"/>
          <w:color w:val="auto"/>
          <w:kern w:val="0"/>
          <w:sz w:val="32"/>
          <w:szCs w:val="32"/>
          <w:u w:val="none" w:color="auto"/>
          <w:lang w:val="en-US" w:eastAsia="zh-CN"/>
        </w:rPr>
        <w:t>83.09</w:t>
      </w:r>
      <w:r>
        <w:rPr>
          <w:rFonts w:hint="eastAsia" w:ascii="仿宋_GB2312" w:hAnsi="仿宋_GB2312" w:eastAsia="仿宋_GB2312" w:cs="仿宋_GB2312"/>
          <w:color w:val="auto"/>
          <w:sz w:val="32"/>
          <w:szCs w:val="32"/>
          <w:u w:val="none" w:color="auto"/>
        </w:rPr>
        <w:t>%。决算数与年初预算数的差异原因：年度中间有</w:t>
      </w:r>
      <w:r>
        <w:rPr>
          <w:rFonts w:hint="eastAsia" w:ascii="仿宋_GB2312" w:hAnsi="仿宋_GB2312" w:eastAsia="仿宋_GB2312" w:cs="仿宋_GB2312"/>
          <w:color w:val="auto"/>
          <w:sz w:val="32"/>
          <w:szCs w:val="32"/>
          <w:u w:val="none" w:color="auto"/>
          <w:lang w:eastAsia="zh-CN"/>
        </w:rPr>
        <w:t>行政人员调出</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eastAsia="zh-CN"/>
        </w:rPr>
        <w:t>行政</w:t>
      </w:r>
      <w:r>
        <w:rPr>
          <w:rFonts w:hint="eastAsia" w:ascii="仿宋_GB2312" w:hAnsi="仿宋_GB2312" w:eastAsia="仿宋_GB2312" w:cs="仿宋_GB2312"/>
          <w:color w:val="auto"/>
          <w:sz w:val="32"/>
          <w:szCs w:val="32"/>
          <w:u w:val="none" w:color="auto"/>
        </w:rPr>
        <w:t>在职人数</w:t>
      </w:r>
      <w:r>
        <w:rPr>
          <w:rFonts w:hint="eastAsia" w:ascii="仿宋_GB2312" w:hAnsi="仿宋_GB2312" w:eastAsia="仿宋_GB2312" w:cs="仿宋_GB2312"/>
          <w:color w:val="auto"/>
          <w:sz w:val="32"/>
          <w:szCs w:val="32"/>
          <w:u w:val="none" w:color="auto"/>
          <w:lang w:eastAsia="zh-CN"/>
        </w:rPr>
        <w:t>减少</w:t>
      </w:r>
      <w:r>
        <w:rPr>
          <w:rFonts w:hint="eastAsia" w:ascii="仿宋_GB2312" w:hAnsi="仿宋_GB2312" w:eastAsia="仿宋_GB2312" w:cs="仿宋_GB2312"/>
          <w:color w:val="auto"/>
          <w:sz w:val="32"/>
          <w:szCs w:val="32"/>
          <w:u w:val="none" w:color="auto"/>
        </w:rPr>
        <w:t>导致</w:t>
      </w:r>
      <w:r>
        <w:rPr>
          <w:rFonts w:hint="eastAsia" w:ascii="仿宋_GB2312" w:hAnsi="仿宋_GB2312" w:eastAsia="仿宋_GB2312" w:cs="仿宋_GB2312"/>
          <w:color w:val="auto"/>
          <w:sz w:val="32"/>
          <w:szCs w:val="32"/>
          <w:u w:val="none" w:color="auto"/>
          <w:lang w:eastAsia="zh-CN"/>
        </w:rPr>
        <w:t>行政单位医疗支出</w:t>
      </w:r>
      <w:r>
        <w:rPr>
          <w:rFonts w:hint="eastAsia" w:ascii="仿宋_GB2312" w:hAnsi="仿宋_GB2312" w:eastAsia="仿宋_GB2312" w:cs="仿宋_GB2312"/>
          <w:color w:val="auto"/>
          <w:sz w:val="32"/>
          <w:szCs w:val="32"/>
          <w:u w:val="none" w:color="auto"/>
        </w:rPr>
        <w:t>较年初有所</w:t>
      </w:r>
      <w:r>
        <w:rPr>
          <w:rFonts w:hint="eastAsia" w:ascii="仿宋_GB2312" w:hAnsi="仿宋_GB2312" w:eastAsia="仿宋_GB2312" w:cs="仿宋_GB2312"/>
          <w:color w:val="auto"/>
          <w:sz w:val="32"/>
          <w:szCs w:val="32"/>
          <w:u w:val="none" w:color="auto"/>
          <w:lang w:eastAsia="zh-CN"/>
        </w:rPr>
        <w:t>减少</w:t>
      </w:r>
      <w:r>
        <w:rPr>
          <w:rFonts w:hint="eastAsia" w:ascii="仿宋_GB2312" w:hAnsi="仿宋_GB2312" w:eastAsia="仿宋_GB2312" w:cs="仿宋_GB2312"/>
          <w:color w:val="auto"/>
          <w:sz w:val="32"/>
          <w:szCs w:val="32"/>
          <w:u w:val="none" w:color="auto"/>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lang w:val="en-US" w:eastAsia="zh-CN"/>
        </w:rPr>
        <w:t>2.</w:t>
      </w:r>
      <w:r>
        <w:rPr>
          <w:rFonts w:hint="eastAsia" w:ascii="仿宋_GB2312" w:hAnsi="仿宋_GB2312" w:eastAsia="仿宋_GB2312" w:cs="仿宋_GB2312"/>
          <w:color w:val="auto"/>
          <w:kern w:val="0"/>
          <w:sz w:val="32"/>
          <w:szCs w:val="32"/>
          <w:u w:val="none" w:color="auto"/>
        </w:rPr>
        <w:t>行政事业单位医疗（款）事业单位医疗（项）。年初预算</w:t>
      </w:r>
      <w:r>
        <w:rPr>
          <w:rFonts w:hint="eastAsia" w:ascii="仿宋_GB2312" w:hAnsi="仿宋_GB2312" w:eastAsia="仿宋_GB2312" w:cs="仿宋_GB2312"/>
          <w:color w:val="auto"/>
          <w:kern w:val="0"/>
          <w:sz w:val="32"/>
          <w:szCs w:val="32"/>
          <w:u w:val="none" w:color="auto"/>
          <w:lang w:val="en-US" w:eastAsia="zh-CN"/>
        </w:rPr>
        <w:t>7.55</w:t>
      </w:r>
      <w:r>
        <w:rPr>
          <w:rFonts w:hint="eastAsia" w:ascii="仿宋_GB2312" w:hAnsi="仿宋_GB2312" w:eastAsia="仿宋_GB2312" w:cs="仿宋_GB2312"/>
          <w:color w:val="auto"/>
          <w:kern w:val="0"/>
          <w:sz w:val="32"/>
          <w:szCs w:val="32"/>
          <w:u w:val="none" w:color="auto"/>
        </w:rPr>
        <w:t>万元，支出决算</w:t>
      </w:r>
      <w:r>
        <w:rPr>
          <w:rFonts w:hint="eastAsia" w:ascii="仿宋_GB2312" w:hAnsi="仿宋_GB2312" w:eastAsia="仿宋_GB2312" w:cs="仿宋_GB2312"/>
          <w:color w:val="auto"/>
          <w:kern w:val="0"/>
          <w:sz w:val="32"/>
          <w:szCs w:val="32"/>
          <w:u w:val="none" w:color="auto"/>
          <w:lang w:val="en-US" w:eastAsia="zh-CN"/>
        </w:rPr>
        <w:t>9.51</w:t>
      </w:r>
      <w:r>
        <w:rPr>
          <w:rFonts w:hint="eastAsia" w:ascii="仿宋_GB2312" w:hAnsi="仿宋_GB2312" w:eastAsia="仿宋_GB2312" w:cs="仿宋_GB2312"/>
          <w:color w:val="auto"/>
          <w:kern w:val="0"/>
          <w:sz w:val="32"/>
          <w:szCs w:val="32"/>
          <w:u w:val="none" w:color="auto"/>
        </w:rPr>
        <w:t>万元，完成年初预算的</w:t>
      </w:r>
      <w:r>
        <w:rPr>
          <w:rFonts w:hint="eastAsia" w:ascii="仿宋_GB2312" w:hAnsi="仿宋_GB2312" w:eastAsia="仿宋_GB2312" w:cs="仿宋_GB2312"/>
          <w:color w:val="auto"/>
          <w:kern w:val="0"/>
          <w:sz w:val="32"/>
          <w:szCs w:val="32"/>
          <w:u w:val="none" w:color="auto"/>
          <w:lang w:val="en-US" w:eastAsia="zh-CN"/>
        </w:rPr>
        <w:t>125.96</w:t>
      </w:r>
      <w:r>
        <w:rPr>
          <w:rFonts w:hint="eastAsia" w:ascii="仿宋_GB2312" w:hAnsi="仿宋_GB2312" w:eastAsia="仿宋_GB2312" w:cs="仿宋_GB2312"/>
          <w:color w:val="auto"/>
          <w:kern w:val="0"/>
          <w:sz w:val="32"/>
          <w:szCs w:val="32"/>
          <w:u w:val="none" w:color="auto"/>
        </w:rPr>
        <w:t>%。决算数与年初预算数的差异原因：</w:t>
      </w:r>
      <w:r>
        <w:rPr>
          <w:rFonts w:hint="eastAsia" w:ascii="仿宋_GB2312" w:hAnsi="仿宋_GB2312" w:eastAsia="仿宋_GB2312" w:cs="仿宋_GB2312"/>
          <w:color w:val="auto"/>
          <w:kern w:val="0"/>
          <w:sz w:val="32"/>
          <w:szCs w:val="32"/>
          <w:u w:val="none" w:color="auto"/>
          <w:lang w:val="en-US" w:eastAsia="zh-CN"/>
        </w:rPr>
        <w:t>年度中间有新调入事业人员，事业在职人数增加导致事业单位医疗支出较年初有所增加。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lang w:val="en-US" w:eastAsia="zh-CN"/>
        </w:rPr>
        <w:t>3.</w:t>
      </w:r>
      <w:r>
        <w:rPr>
          <w:rFonts w:hint="eastAsia" w:ascii="仿宋_GB2312" w:hAnsi="仿宋_GB2312" w:eastAsia="仿宋_GB2312" w:cs="仿宋_GB2312"/>
          <w:color w:val="auto"/>
          <w:kern w:val="0"/>
          <w:sz w:val="32"/>
          <w:szCs w:val="32"/>
          <w:u w:val="none" w:color="auto"/>
        </w:rPr>
        <w:t>行政事业单位医疗（款）公务员医疗补助（项）。年初预算</w:t>
      </w:r>
      <w:r>
        <w:rPr>
          <w:rFonts w:hint="eastAsia" w:ascii="仿宋_GB2312" w:hAnsi="仿宋_GB2312" w:eastAsia="仿宋_GB2312" w:cs="仿宋_GB2312"/>
          <w:color w:val="auto"/>
          <w:kern w:val="0"/>
          <w:sz w:val="32"/>
          <w:szCs w:val="32"/>
          <w:u w:val="none" w:color="auto"/>
          <w:lang w:val="en-US" w:eastAsia="zh-CN"/>
        </w:rPr>
        <w:t>0</w:t>
      </w:r>
      <w:r>
        <w:rPr>
          <w:rFonts w:hint="eastAsia" w:ascii="仿宋_GB2312" w:hAnsi="仿宋_GB2312" w:eastAsia="仿宋_GB2312" w:cs="仿宋_GB2312"/>
          <w:color w:val="auto"/>
          <w:kern w:val="0"/>
          <w:sz w:val="32"/>
          <w:szCs w:val="32"/>
          <w:u w:val="none" w:color="auto"/>
        </w:rPr>
        <w:t>万元</w:t>
      </w:r>
      <w:r>
        <w:rPr>
          <w:rFonts w:hint="eastAsia" w:ascii="仿宋_GB2312" w:hAnsi="仿宋_GB2312" w:eastAsia="仿宋_GB2312" w:cs="仿宋_GB2312"/>
          <w:color w:val="auto"/>
          <w:kern w:val="0"/>
          <w:sz w:val="32"/>
          <w:szCs w:val="32"/>
          <w:u w:val="none" w:color="auto"/>
          <w:lang w:val="en-US" w:eastAsia="zh-CN"/>
        </w:rPr>
        <w:t>，</w:t>
      </w:r>
      <w:r>
        <w:rPr>
          <w:rFonts w:hint="eastAsia" w:ascii="仿宋_GB2312" w:hAnsi="仿宋_GB2312" w:eastAsia="仿宋_GB2312" w:cs="仿宋_GB2312"/>
          <w:color w:val="auto"/>
          <w:kern w:val="0"/>
          <w:sz w:val="32"/>
          <w:szCs w:val="32"/>
          <w:u w:val="none" w:color="auto"/>
        </w:rPr>
        <w:t>支出决算</w:t>
      </w:r>
      <w:r>
        <w:rPr>
          <w:rFonts w:hint="eastAsia" w:ascii="仿宋_GB2312" w:hAnsi="仿宋_GB2312" w:eastAsia="仿宋_GB2312" w:cs="仿宋_GB2312"/>
          <w:color w:val="auto"/>
          <w:kern w:val="0"/>
          <w:sz w:val="32"/>
          <w:szCs w:val="32"/>
          <w:u w:val="none" w:color="auto"/>
          <w:lang w:val="en-US" w:eastAsia="zh-CN"/>
        </w:rPr>
        <w:t>0.5</w:t>
      </w:r>
      <w:r>
        <w:rPr>
          <w:rFonts w:hint="eastAsia" w:ascii="仿宋_GB2312" w:hAnsi="仿宋_GB2312" w:eastAsia="仿宋_GB2312" w:cs="仿宋_GB2312"/>
          <w:color w:val="auto"/>
          <w:kern w:val="0"/>
          <w:sz w:val="32"/>
          <w:szCs w:val="32"/>
          <w:u w:val="none" w:color="auto"/>
        </w:rPr>
        <w:t>万元。决算数与年初预算数的差异原因：</w:t>
      </w:r>
      <w:r>
        <w:rPr>
          <w:rFonts w:hint="eastAsia" w:ascii="仿宋_GB2312" w:hAnsi="仿宋_GB2312" w:eastAsia="仿宋_GB2312" w:cs="仿宋_GB2312"/>
          <w:color w:val="auto"/>
          <w:kern w:val="0"/>
          <w:sz w:val="32"/>
          <w:szCs w:val="32"/>
          <w:u w:val="none" w:color="auto"/>
          <w:lang w:eastAsia="zh-CN"/>
        </w:rPr>
        <w:t>年度中间追加新增预算项目为公务员医疗补助</w:t>
      </w:r>
      <w:r>
        <w:rPr>
          <w:rFonts w:hint="eastAsia" w:ascii="仿宋_GB2312" w:hAnsi="仿宋_GB2312" w:eastAsia="仿宋_GB2312" w:cs="仿宋_GB2312"/>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both"/>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四</w:t>
      </w: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节能环保支出</w:t>
      </w:r>
      <w:r>
        <w:rPr>
          <w:rFonts w:hint="eastAsia" w:ascii="楷体_GB2312" w:hAnsi="楷体_GB2312" w:eastAsia="楷体_GB2312" w:cs="楷体_GB2312"/>
          <w:b w:val="0"/>
          <w:bCs w:val="0"/>
          <w:color w:val="auto"/>
          <w:kern w:val="0"/>
          <w:sz w:val="32"/>
          <w:szCs w:val="32"/>
          <w:u w:val="none" w:color="auto"/>
        </w:rPr>
        <w:t>（类）</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lang w:eastAsia="zh-CN"/>
        </w:rPr>
        <w:t>节能环保支出</w:t>
      </w:r>
      <w:r>
        <w:rPr>
          <w:rFonts w:hint="eastAsia" w:ascii="仿宋_GB2312" w:hAnsi="仿宋_GB2312" w:eastAsia="仿宋_GB2312" w:cs="仿宋_GB2312"/>
          <w:b w:val="0"/>
          <w:bCs w:val="0"/>
          <w:color w:val="auto"/>
          <w:kern w:val="0"/>
          <w:sz w:val="32"/>
          <w:szCs w:val="32"/>
          <w:u w:val="none" w:color="auto"/>
        </w:rPr>
        <w:t>（类）决算数为 </w:t>
      </w:r>
      <w:r>
        <w:rPr>
          <w:rFonts w:hint="eastAsia" w:ascii="仿宋_GB2312" w:hAnsi="仿宋_GB2312" w:eastAsia="仿宋_GB2312" w:cs="仿宋_GB2312"/>
          <w:b w:val="0"/>
          <w:bCs w:val="0"/>
          <w:color w:val="auto"/>
          <w:kern w:val="0"/>
          <w:sz w:val="32"/>
          <w:szCs w:val="32"/>
          <w:u w:val="none" w:color="auto"/>
          <w:lang w:val="en-US" w:eastAsia="zh-CN"/>
        </w:rPr>
        <w:t>36.38</w:t>
      </w:r>
      <w:r>
        <w:rPr>
          <w:rFonts w:hint="eastAsia" w:ascii="仿宋_GB2312" w:hAnsi="仿宋_GB2312" w:eastAsia="仿宋_GB2312" w:cs="仿宋_GB2312"/>
          <w:b w:val="0"/>
          <w:bCs w:val="0"/>
          <w:color w:val="auto"/>
          <w:kern w:val="0"/>
          <w:sz w:val="32"/>
          <w:szCs w:val="32"/>
          <w:u w:val="none" w:color="auto"/>
        </w:rPr>
        <w:t>万元，与年初预算相比</w:t>
      </w:r>
      <w:r>
        <w:rPr>
          <w:rFonts w:hint="eastAsia" w:ascii="仿宋_GB2312" w:hAnsi="仿宋_GB2312" w:eastAsia="仿宋_GB2312" w:cs="仿宋_GB2312"/>
          <w:b w:val="0"/>
          <w:bCs w:val="0"/>
          <w:color w:val="auto"/>
          <w:kern w:val="0"/>
          <w:sz w:val="32"/>
          <w:szCs w:val="32"/>
          <w:u w:val="none" w:color="auto"/>
          <w:lang w:eastAsia="zh-CN"/>
        </w:rPr>
        <w:t>增加</w:t>
      </w:r>
      <w:r>
        <w:rPr>
          <w:rFonts w:hint="eastAsia" w:ascii="仿宋_GB2312" w:hAnsi="仿宋_GB2312" w:eastAsia="仿宋_GB2312" w:cs="仿宋_GB2312"/>
          <w:b w:val="0"/>
          <w:bCs w:val="0"/>
          <w:color w:val="auto"/>
          <w:kern w:val="0"/>
          <w:sz w:val="32"/>
          <w:szCs w:val="32"/>
          <w:u w:val="none" w:color="auto"/>
        </w:rPr>
        <w:t xml:space="preserve"> </w:t>
      </w:r>
      <w:r>
        <w:rPr>
          <w:rFonts w:hint="eastAsia" w:ascii="仿宋_GB2312" w:hAnsi="仿宋_GB2312" w:eastAsia="仿宋_GB2312" w:cs="仿宋_GB2312"/>
          <w:b w:val="0"/>
          <w:bCs w:val="0"/>
          <w:color w:val="auto"/>
          <w:kern w:val="0"/>
          <w:sz w:val="32"/>
          <w:szCs w:val="32"/>
          <w:u w:val="none" w:color="auto"/>
          <w:lang w:val="en-US" w:eastAsia="zh-CN"/>
        </w:rPr>
        <w:t>36.38</w:t>
      </w:r>
      <w:r>
        <w:rPr>
          <w:rFonts w:hint="eastAsia" w:ascii="仿宋_GB2312" w:hAnsi="仿宋_GB2312" w:eastAsia="仿宋_GB2312" w:cs="仿宋_GB2312"/>
          <w:b w:val="0"/>
          <w:bCs w:val="0"/>
          <w:color w:val="auto"/>
          <w:kern w:val="0"/>
          <w:sz w:val="32"/>
          <w:szCs w:val="32"/>
          <w:u w:val="none" w:color="auto"/>
        </w:rPr>
        <w:t>万元。其中：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eastAsia="zh-CN"/>
        </w:rPr>
        <w:t>污染防治</w:t>
      </w:r>
      <w:r>
        <w:rPr>
          <w:rFonts w:hint="eastAsia" w:ascii="仿宋_GB2312" w:hAnsi="仿宋_GB2312" w:eastAsia="仿宋_GB2312" w:cs="仿宋_GB2312"/>
          <w:b w:val="0"/>
          <w:bCs w:val="0"/>
          <w:color w:val="auto"/>
          <w:sz w:val="32"/>
          <w:szCs w:val="32"/>
          <w:u w:val="none" w:color="auto"/>
        </w:rPr>
        <w:t>（款）</w:t>
      </w:r>
      <w:r>
        <w:rPr>
          <w:rFonts w:hint="eastAsia" w:ascii="仿宋_GB2312" w:hAnsi="仿宋_GB2312" w:eastAsia="仿宋_GB2312" w:cs="仿宋_GB2312"/>
          <w:b w:val="0"/>
          <w:bCs w:val="0"/>
          <w:color w:val="auto"/>
          <w:sz w:val="32"/>
          <w:szCs w:val="32"/>
          <w:u w:val="none" w:color="auto"/>
          <w:lang w:eastAsia="zh-CN"/>
        </w:rPr>
        <w:t>水体</w:t>
      </w:r>
      <w:r>
        <w:rPr>
          <w:rFonts w:hint="eastAsia" w:ascii="仿宋_GB2312" w:hAnsi="仿宋_GB2312" w:eastAsia="仿宋_GB2312" w:cs="仿宋_GB2312"/>
          <w:b w:val="0"/>
          <w:bCs w:val="0"/>
          <w:color w:val="auto"/>
          <w:sz w:val="32"/>
          <w:szCs w:val="32"/>
          <w:u w:val="none" w:color="auto"/>
        </w:rPr>
        <w:t>（项）。年初预算</w:t>
      </w:r>
      <w:r>
        <w:rPr>
          <w:rFonts w:hint="eastAsia" w:ascii="仿宋_GB2312" w:hAnsi="仿宋_GB2312" w:eastAsia="仿宋_GB2312" w:cs="仿宋_GB2312"/>
          <w:b w:val="0"/>
          <w:bCs w:val="0"/>
          <w:color w:val="auto"/>
          <w:kern w:val="0"/>
          <w:sz w:val="32"/>
          <w:szCs w:val="32"/>
          <w:u w:val="none" w:color="auto"/>
          <w:lang w:val="en-US" w:eastAsia="zh-CN"/>
        </w:rPr>
        <w:t>0</w:t>
      </w:r>
      <w:r>
        <w:rPr>
          <w:rFonts w:hint="eastAsia" w:ascii="仿宋_GB2312" w:hAnsi="仿宋_GB2312" w:eastAsia="仿宋_GB2312" w:cs="仿宋_GB2312"/>
          <w:b w:val="0"/>
          <w:bCs w:val="0"/>
          <w:color w:val="auto"/>
          <w:sz w:val="32"/>
          <w:szCs w:val="32"/>
          <w:u w:val="none" w:color="auto"/>
        </w:rPr>
        <w:t>万元</w:t>
      </w:r>
      <w:r>
        <w:rPr>
          <w:rFonts w:hint="eastAsia" w:ascii="仿宋_GB2312" w:hAnsi="仿宋_GB2312" w:eastAsia="仿宋_GB2312" w:cs="仿宋_GB2312"/>
          <w:b w:val="0"/>
          <w:bCs w:val="0"/>
          <w:color w:val="auto"/>
          <w:kern w:val="0"/>
          <w:sz w:val="32"/>
          <w:szCs w:val="32"/>
          <w:u w:val="none" w:color="auto"/>
          <w:lang w:val="en-US" w:eastAsia="zh-CN"/>
        </w:rPr>
        <w:t>，</w:t>
      </w:r>
      <w:r>
        <w:rPr>
          <w:rFonts w:hint="eastAsia" w:ascii="仿宋_GB2312" w:hAnsi="仿宋_GB2312" w:eastAsia="仿宋_GB2312" w:cs="仿宋_GB2312"/>
          <w:b w:val="0"/>
          <w:bCs w:val="0"/>
          <w:color w:val="auto"/>
          <w:sz w:val="32"/>
          <w:szCs w:val="32"/>
          <w:u w:val="none" w:color="auto"/>
        </w:rPr>
        <w:t>支出决算</w:t>
      </w:r>
      <w:r>
        <w:rPr>
          <w:rFonts w:hint="eastAsia" w:ascii="仿宋_GB2312" w:hAnsi="仿宋_GB2312" w:eastAsia="仿宋_GB2312" w:cs="仿宋_GB2312"/>
          <w:b w:val="0"/>
          <w:bCs w:val="0"/>
          <w:color w:val="auto"/>
          <w:kern w:val="0"/>
          <w:sz w:val="32"/>
          <w:szCs w:val="32"/>
          <w:u w:val="none" w:color="auto"/>
          <w:lang w:val="en-US" w:eastAsia="zh-CN"/>
        </w:rPr>
        <w:t>36.38</w:t>
      </w:r>
      <w:r>
        <w:rPr>
          <w:rFonts w:hint="eastAsia" w:ascii="仿宋_GB2312" w:hAnsi="仿宋_GB2312" w:eastAsia="仿宋_GB2312" w:cs="仿宋_GB2312"/>
          <w:b w:val="0"/>
          <w:bCs w:val="0"/>
          <w:color w:val="auto"/>
          <w:sz w:val="32"/>
          <w:szCs w:val="32"/>
          <w:u w:val="none" w:color="auto"/>
        </w:rPr>
        <w:t>万元。决算数与年初预算数的差异原因：</w:t>
      </w:r>
      <w:r>
        <w:rPr>
          <w:rFonts w:hint="eastAsia" w:ascii="仿宋_GB2312" w:hAnsi="仿宋_GB2312" w:eastAsia="仿宋_GB2312" w:cs="仿宋_GB2312"/>
          <w:b w:val="0"/>
          <w:bCs w:val="0"/>
          <w:color w:val="auto"/>
          <w:kern w:val="0"/>
          <w:sz w:val="32"/>
          <w:szCs w:val="32"/>
          <w:u w:val="none" w:color="auto"/>
          <w:lang w:eastAsia="zh-CN"/>
        </w:rPr>
        <w:t>年度中间追加新增预算项目为</w:t>
      </w:r>
      <w:r>
        <w:rPr>
          <w:rFonts w:hint="eastAsia" w:ascii="仿宋_GB2312" w:hAnsi="仿宋_GB2312" w:eastAsia="仿宋_GB2312" w:cs="仿宋_GB2312"/>
          <w:b w:val="0"/>
          <w:bCs w:val="0"/>
          <w:color w:val="auto"/>
          <w:sz w:val="32"/>
          <w:szCs w:val="32"/>
          <w:u w:val="none" w:color="auto"/>
        </w:rPr>
        <w:t>赤峰市高新区东山产业园地下水检测。</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五</w:t>
      </w: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城乡社区支出</w:t>
      </w:r>
      <w:r>
        <w:rPr>
          <w:rFonts w:hint="eastAsia" w:ascii="楷体_GB2312" w:hAnsi="楷体_GB2312" w:eastAsia="楷体_GB2312" w:cs="楷体_GB2312"/>
          <w:b w:val="0"/>
          <w:bCs w:val="0"/>
          <w:color w:val="auto"/>
          <w:kern w:val="0"/>
          <w:sz w:val="32"/>
          <w:szCs w:val="32"/>
          <w:u w:val="none" w:color="auto"/>
        </w:rPr>
        <w:t>（类）</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lang w:eastAsia="zh-CN"/>
        </w:rPr>
        <w:t>城乡社区支出</w:t>
      </w:r>
      <w:r>
        <w:rPr>
          <w:rFonts w:hint="eastAsia" w:ascii="仿宋_GB2312" w:hAnsi="仿宋_GB2312" w:eastAsia="仿宋_GB2312" w:cs="仿宋_GB2312"/>
          <w:color w:val="auto"/>
          <w:kern w:val="0"/>
          <w:sz w:val="32"/>
          <w:szCs w:val="32"/>
          <w:u w:val="none" w:color="auto"/>
        </w:rPr>
        <w:t>（类）决算数为 </w:t>
      </w:r>
      <w:r>
        <w:rPr>
          <w:rFonts w:hint="eastAsia" w:ascii="仿宋_GB2312" w:hAnsi="仿宋_GB2312" w:eastAsia="仿宋_GB2312" w:cs="仿宋_GB2312"/>
          <w:color w:val="auto"/>
          <w:kern w:val="0"/>
          <w:sz w:val="32"/>
          <w:szCs w:val="32"/>
          <w:u w:val="none" w:color="auto"/>
          <w:lang w:val="en-US" w:eastAsia="zh-CN"/>
        </w:rPr>
        <w:t>55200</w:t>
      </w:r>
      <w:r>
        <w:rPr>
          <w:rFonts w:hint="eastAsia" w:ascii="仿宋_GB2312" w:hAnsi="仿宋_GB2312" w:eastAsia="仿宋_GB2312" w:cs="仿宋_GB2312"/>
          <w:color w:val="auto"/>
          <w:kern w:val="0"/>
          <w:sz w:val="32"/>
          <w:szCs w:val="32"/>
          <w:u w:val="none" w:color="auto"/>
        </w:rPr>
        <w:t>万元，与年初预算相比</w:t>
      </w:r>
      <w:r>
        <w:rPr>
          <w:rFonts w:hint="eastAsia" w:ascii="仿宋_GB2312" w:hAnsi="仿宋_GB2312" w:eastAsia="仿宋_GB2312" w:cs="仿宋_GB2312"/>
          <w:color w:val="auto"/>
          <w:kern w:val="0"/>
          <w:sz w:val="32"/>
          <w:szCs w:val="32"/>
          <w:u w:val="none" w:color="auto"/>
          <w:lang w:eastAsia="zh-CN"/>
        </w:rPr>
        <w:t>增加</w:t>
      </w:r>
      <w:r>
        <w:rPr>
          <w:rFonts w:hint="eastAsia" w:ascii="仿宋_GB2312" w:hAnsi="仿宋_GB2312" w:eastAsia="仿宋_GB2312" w:cs="仿宋_GB2312"/>
          <w:color w:val="auto"/>
          <w:kern w:val="0"/>
          <w:sz w:val="32"/>
          <w:szCs w:val="32"/>
          <w:u w:val="none" w:color="auto"/>
        </w:rPr>
        <w:t xml:space="preserve"> </w:t>
      </w:r>
      <w:r>
        <w:rPr>
          <w:rFonts w:hint="eastAsia" w:ascii="仿宋_GB2312" w:hAnsi="仿宋_GB2312" w:eastAsia="仿宋_GB2312" w:cs="仿宋_GB2312"/>
          <w:color w:val="auto"/>
          <w:kern w:val="0"/>
          <w:sz w:val="32"/>
          <w:szCs w:val="32"/>
          <w:u w:val="none" w:color="auto"/>
          <w:lang w:val="en-US" w:eastAsia="zh-CN"/>
        </w:rPr>
        <w:t>55200</w:t>
      </w:r>
      <w:r>
        <w:rPr>
          <w:rFonts w:hint="eastAsia" w:ascii="仿宋_GB2312" w:hAnsi="仿宋_GB2312" w:eastAsia="仿宋_GB2312" w:cs="仿宋_GB2312"/>
          <w:color w:val="auto"/>
          <w:kern w:val="0"/>
          <w:sz w:val="32"/>
          <w:szCs w:val="32"/>
          <w:u w:val="none" w:color="auto"/>
        </w:rPr>
        <w:t>万元。其中：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1.</w:t>
      </w:r>
      <w:r>
        <w:rPr>
          <w:rFonts w:hint="eastAsia" w:ascii="仿宋_GB2312" w:hAnsi="仿宋_GB2312" w:eastAsia="仿宋_GB2312" w:cs="仿宋_GB2312"/>
          <w:color w:val="auto"/>
          <w:sz w:val="32"/>
          <w:szCs w:val="32"/>
          <w:u w:val="none" w:color="auto"/>
          <w:lang w:eastAsia="zh-CN"/>
        </w:rPr>
        <w:t>城乡社区公共设施</w:t>
      </w:r>
      <w:r>
        <w:rPr>
          <w:rFonts w:hint="eastAsia" w:ascii="仿宋_GB2312" w:hAnsi="仿宋_GB2312" w:eastAsia="仿宋_GB2312" w:cs="仿宋_GB2312"/>
          <w:color w:val="auto"/>
          <w:sz w:val="32"/>
          <w:szCs w:val="32"/>
          <w:u w:val="none" w:color="auto"/>
        </w:rPr>
        <w:t>（款）</w:t>
      </w:r>
      <w:r>
        <w:rPr>
          <w:rFonts w:hint="eastAsia" w:ascii="仿宋_GB2312" w:hAnsi="仿宋_GB2312" w:eastAsia="仿宋_GB2312" w:cs="仿宋_GB2312"/>
          <w:color w:val="auto"/>
          <w:sz w:val="32"/>
          <w:szCs w:val="32"/>
          <w:u w:val="none" w:color="auto"/>
          <w:lang w:eastAsia="zh-CN"/>
        </w:rPr>
        <w:t>其他城乡社区公共设施支出</w:t>
      </w:r>
      <w:r>
        <w:rPr>
          <w:rFonts w:hint="eastAsia" w:ascii="仿宋_GB2312" w:hAnsi="仿宋_GB2312" w:eastAsia="仿宋_GB2312" w:cs="仿宋_GB2312"/>
          <w:color w:val="auto"/>
          <w:sz w:val="32"/>
          <w:szCs w:val="32"/>
          <w:u w:val="none" w:color="auto"/>
        </w:rPr>
        <w:t>（项）。年初预算</w:t>
      </w:r>
      <w:r>
        <w:rPr>
          <w:rFonts w:hint="eastAsia" w:ascii="仿宋_GB2312" w:hAnsi="仿宋_GB2312" w:eastAsia="仿宋_GB2312" w:cs="仿宋_GB2312"/>
          <w:color w:val="auto"/>
          <w:kern w:val="0"/>
          <w:sz w:val="32"/>
          <w:szCs w:val="32"/>
          <w:u w:val="none" w:color="auto"/>
          <w:lang w:val="en-US" w:eastAsia="zh-CN"/>
        </w:rPr>
        <w:t>0</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kern w:val="0"/>
          <w:sz w:val="32"/>
          <w:szCs w:val="32"/>
          <w:u w:val="none" w:color="auto"/>
          <w:lang w:val="en-US" w:eastAsia="zh-CN"/>
        </w:rPr>
        <w:t>，</w:t>
      </w:r>
      <w:r>
        <w:rPr>
          <w:rFonts w:hint="eastAsia" w:ascii="仿宋_GB2312" w:hAnsi="仿宋_GB2312" w:eastAsia="仿宋_GB2312" w:cs="仿宋_GB2312"/>
          <w:color w:val="auto"/>
          <w:sz w:val="32"/>
          <w:szCs w:val="32"/>
          <w:u w:val="none" w:color="auto"/>
        </w:rPr>
        <w:t>支出决算</w:t>
      </w:r>
      <w:r>
        <w:rPr>
          <w:rFonts w:hint="eastAsia" w:ascii="仿宋_GB2312" w:hAnsi="仿宋_GB2312" w:eastAsia="仿宋_GB2312" w:cs="仿宋_GB2312"/>
          <w:color w:val="auto"/>
          <w:kern w:val="0"/>
          <w:sz w:val="32"/>
          <w:szCs w:val="32"/>
          <w:u w:val="none" w:color="auto"/>
          <w:lang w:val="en-US" w:eastAsia="zh-CN"/>
        </w:rPr>
        <w:t>55200</w:t>
      </w:r>
      <w:r>
        <w:rPr>
          <w:rFonts w:hint="eastAsia" w:ascii="仿宋_GB2312" w:hAnsi="仿宋_GB2312" w:eastAsia="仿宋_GB2312" w:cs="仿宋_GB2312"/>
          <w:color w:val="auto"/>
          <w:sz w:val="32"/>
          <w:szCs w:val="32"/>
          <w:u w:val="none" w:color="auto"/>
        </w:rPr>
        <w:t>万元。决算数与年初预算数的差异原因：</w:t>
      </w:r>
      <w:r>
        <w:rPr>
          <w:rFonts w:hint="eastAsia" w:ascii="仿宋_GB2312" w:hAnsi="仿宋_GB2312" w:eastAsia="仿宋_GB2312" w:cs="仿宋_GB2312"/>
          <w:color w:val="auto"/>
          <w:kern w:val="0"/>
          <w:sz w:val="32"/>
          <w:szCs w:val="32"/>
          <w:u w:val="none" w:color="auto"/>
          <w:lang w:eastAsia="zh-CN"/>
        </w:rPr>
        <w:t>年度中间追加新增预算项目为</w:t>
      </w:r>
      <w:r>
        <w:rPr>
          <w:rFonts w:hint="eastAsia" w:ascii="仿宋_GB2312" w:hAnsi="仿宋_GB2312" w:eastAsia="仿宋_GB2312" w:cs="仿宋_GB2312"/>
          <w:color w:val="auto"/>
          <w:sz w:val="32"/>
          <w:szCs w:val="32"/>
          <w:u w:val="none" w:color="auto"/>
          <w:lang w:eastAsia="zh-CN"/>
        </w:rPr>
        <w:t>赤峰高新区供水工程和东山产业园道路（给排水管线）建设项目、2024年第四批新增地方政府一般债券资金</w:t>
      </w:r>
      <w:r>
        <w:rPr>
          <w:rFonts w:hint="eastAsia" w:ascii="仿宋_GB2312" w:hAnsi="仿宋_GB2312" w:eastAsia="仿宋_GB2312" w:cs="仿宋_GB2312"/>
          <w:color w:val="auto"/>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六</w:t>
      </w: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农林水支出</w:t>
      </w:r>
      <w:r>
        <w:rPr>
          <w:rFonts w:hint="eastAsia" w:ascii="楷体_GB2312" w:hAnsi="楷体_GB2312" w:eastAsia="楷体_GB2312" w:cs="楷体_GB2312"/>
          <w:b w:val="0"/>
          <w:bCs w:val="0"/>
          <w:color w:val="auto"/>
          <w:kern w:val="0"/>
          <w:sz w:val="32"/>
          <w:szCs w:val="32"/>
          <w:u w:val="none" w:color="auto"/>
        </w:rPr>
        <w:t>（类）</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lang w:eastAsia="zh-CN"/>
        </w:rPr>
        <w:t>农林水支出</w:t>
      </w:r>
      <w:r>
        <w:rPr>
          <w:rFonts w:hint="eastAsia" w:ascii="仿宋_GB2312" w:hAnsi="仿宋_GB2312" w:eastAsia="仿宋_GB2312" w:cs="仿宋_GB2312"/>
          <w:b w:val="0"/>
          <w:bCs w:val="0"/>
          <w:color w:val="auto"/>
          <w:kern w:val="0"/>
          <w:sz w:val="32"/>
          <w:szCs w:val="32"/>
          <w:u w:val="none" w:color="auto"/>
        </w:rPr>
        <w:t>（类）决算数为 </w:t>
      </w:r>
      <w:r>
        <w:rPr>
          <w:rFonts w:hint="eastAsia" w:ascii="仿宋_GB2312" w:hAnsi="仿宋_GB2312" w:eastAsia="仿宋_GB2312" w:cs="仿宋_GB2312"/>
          <w:b w:val="0"/>
          <w:bCs w:val="0"/>
          <w:color w:val="auto"/>
          <w:kern w:val="0"/>
          <w:sz w:val="32"/>
          <w:szCs w:val="32"/>
          <w:u w:val="none" w:color="auto"/>
          <w:lang w:val="en-US" w:eastAsia="zh-CN"/>
        </w:rPr>
        <w:t>7.52</w:t>
      </w:r>
      <w:r>
        <w:rPr>
          <w:rFonts w:hint="eastAsia" w:ascii="仿宋_GB2312" w:hAnsi="仿宋_GB2312" w:eastAsia="仿宋_GB2312" w:cs="仿宋_GB2312"/>
          <w:b w:val="0"/>
          <w:bCs w:val="0"/>
          <w:color w:val="auto"/>
          <w:kern w:val="0"/>
          <w:sz w:val="32"/>
          <w:szCs w:val="32"/>
          <w:u w:val="none" w:color="auto"/>
        </w:rPr>
        <w:t>万元，与年初预算相比</w:t>
      </w:r>
      <w:r>
        <w:rPr>
          <w:rFonts w:hint="eastAsia" w:ascii="仿宋_GB2312" w:hAnsi="仿宋_GB2312" w:eastAsia="仿宋_GB2312" w:cs="仿宋_GB2312"/>
          <w:b w:val="0"/>
          <w:bCs w:val="0"/>
          <w:color w:val="auto"/>
          <w:kern w:val="0"/>
          <w:sz w:val="32"/>
          <w:szCs w:val="32"/>
          <w:u w:val="none" w:color="auto"/>
          <w:lang w:eastAsia="zh-CN"/>
        </w:rPr>
        <w:t>增加</w:t>
      </w:r>
      <w:r>
        <w:rPr>
          <w:rFonts w:hint="eastAsia" w:ascii="仿宋_GB2312" w:hAnsi="仿宋_GB2312" w:eastAsia="仿宋_GB2312" w:cs="仿宋_GB2312"/>
          <w:b w:val="0"/>
          <w:bCs w:val="0"/>
          <w:color w:val="auto"/>
          <w:kern w:val="0"/>
          <w:sz w:val="32"/>
          <w:szCs w:val="32"/>
          <w:u w:val="none" w:color="auto"/>
        </w:rPr>
        <w:t xml:space="preserve"> </w:t>
      </w:r>
      <w:r>
        <w:rPr>
          <w:rFonts w:hint="eastAsia" w:ascii="仿宋_GB2312" w:hAnsi="仿宋_GB2312" w:eastAsia="仿宋_GB2312" w:cs="仿宋_GB2312"/>
          <w:b w:val="0"/>
          <w:bCs w:val="0"/>
          <w:color w:val="auto"/>
          <w:kern w:val="0"/>
          <w:sz w:val="32"/>
          <w:szCs w:val="32"/>
          <w:u w:val="none" w:color="auto"/>
          <w:lang w:val="en-US" w:eastAsia="zh-CN"/>
        </w:rPr>
        <w:t>4.02</w:t>
      </w:r>
      <w:r>
        <w:rPr>
          <w:rFonts w:hint="eastAsia" w:ascii="仿宋_GB2312" w:hAnsi="仿宋_GB2312" w:eastAsia="仿宋_GB2312" w:cs="仿宋_GB2312"/>
          <w:b w:val="0"/>
          <w:bCs w:val="0"/>
          <w:color w:val="auto"/>
          <w:kern w:val="0"/>
          <w:sz w:val="32"/>
          <w:szCs w:val="32"/>
          <w:u w:val="none" w:color="auto"/>
        </w:rPr>
        <w:t>万元。其中：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eastAsia="zh-CN"/>
        </w:rPr>
        <w:t>巩固脱贫攻坚成果衔接乡村振兴（款)其他巩固脱贫攻坚成果衔接乡村振兴支出（项）。年初预算</w:t>
      </w:r>
      <w:r>
        <w:rPr>
          <w:rFonts w:hint="eastAsia" w:ascii="仿宋_GB2312" w:hAnsi="仿宋_GB2312" w:eastAsia="仿宋_GB2312" w:cs="仿宋_GB2312"/>
          <w:b w:val="0"/>
          <w:bCs w:val="0"/>
          <w:color w:val="auto"/>
          <w:kern w:val="0"/>
          <w:sz w:val="32"/>
          <w:szCs w:val="32"/>
          <w:u w:val="none" w:color="auto"/>
          <w:lang w:val="en-US" w:eastAsia="zh-CN"/>
        </w:rPr>
        <w:t>3.5</w:t>
      </w:r>
      <w:r>
        <w:rPr>
          <w:rFonts w:hint="eastAsia" w:ascii="仿宋_GB2312" w:hAnsi="仿宋_GB2312" w:eastAsia="仿宋_GB2312" w:cs="仿宋_GB2312"/>
          <w:b w:val="0"/>
          <w:bCs w:val="0"/>
          <w:color w:val="auto"/>
          <w:sz w:val="32"/>
          <w:szCs w:val="32"/>
          <w:u w:val="none" w:color="auto"/>
          <w:lang w:eastAsia="zh-CN"/>
        </w:rPr>
        <w:t>万元，支出决算</w:t>
      </w:r>
      <w:r>
        <w:rPr>
          <w:rFonts w:hint="eastAsia" w:ascii="仿宋_GB2312" w:hAnsi="仿宋_GB2312" w:eastAsia="仿宋_GB2312" w:cs="仿宋_GB2312"/>
          <w:b w:val="0"/>
          <w:bCs w:val="0"/>
          <w:color w:val="auto"/>
          <w:kern w:val="0"/>
          <w:sz w:val="32"/>
          <w:szCs w:val="32"/>
          <w:u w:val="none" w:color="auto"/>
          <w:lang w:val="en-US" w:eastAsia="zh-CN"/>
        </w:rPr>
        <w:t>7.52</w:t>
      </w:r>
      <w:r>
        <w:rPr>
          <w:rFonts w:hint="eastAsia" w:ascii="仿宋_GB2312" w:hAnsi="仿宋_GB2312" w:eastAsia="仿宋_GB2312" w:cs="仿宋_GB2312"/>
          <w:b w:val="0"/>
          <w:bCs w:val="0"/>
          <w:color w:val="auto"/>
          <w:sz w:val="32"/>
          <w:szCs w:val="32"/>
          <w:u w:val="none" w:color="auto"/>
          <w:lang w:eastAsia="zh-CN"/>
        </w:rPr>
        <w:t>万元，完成年初预算的</w:t>
      </w:r>
      <w:r>
        <w:rPr>
          <w:rFonts w:hint="eastAsia" w:ascii="仿宋_GB2312" w:hAnsi="仿宋_GB2312" w:eastAsia="仿宋_GB2312" w:cs="仿宋_GB2312"/>
          <w:b w:val="0"/>
          <w:bCs w:val="0"/>
          <w:color w:val="auto"/>
          <w:sz w:val="32"/>
          <w:szCs w:val="32"/>
          <w:u w:val="none" w:color="auto"/>
          <w:lang w:val="en-US" w:eastAsia="zh-CN"/>
        </w:rPr>
        <w:t>214.86%</w:t>
      </w:r>
      <w:r>
        <w:rPr>
          <w:rFonts w:hint="eastAsia" w:ascii="仿宋_GB2312" w:hAnsi="仿宋_GB2312" w:eastAsia="仿宋_GB2312" w:cs="仿宋_GB2312"/>
          <w:b w:val="0"/>
          <w:bCs w:val="0"/>
          <w:color w:val="auto"/>
          <w:sz w:val="32"/>
          <w:szCs w:val="32"/>
          <w:u w:val="none" w:color="auto"/>
          <w:lang w:eastAsia="zh-CN"/>
        </w:rPr>
        <w:t>。决算数与年初预算数的差异原因：</w:t>
      </w:r>
      <w:r>
        <w:rPr>
          <w:rFonts w:hint="eastAsia" w:ascii="仿宋_GB2312" w:hAnsi="仿宋_GB2312" w:eastAsia="仿宋_GB2312" w:cs="仿宋_GB2312"/>
          <w:b w:val="0"/>
          <w:bCs w:val="0"/>
          <w:color w:val="auto"/>
          <w:kern w:val="0"/>
          <w:sz w:val="32"/>
          <w:szCs w:val="32"/>
          <w:u w:val="none" w:color="auto"/>
          <w:lang w:eastAsia="zh-CN"/>
        </w:rPr>
        <w:t>年度中间追加新增预算项目为</w:t>
      </w:r>
      <w:r>
        <w:rPr>
          <w:rFonts w:hint="eastAsia" w:ascii="仿宋_GB2312" w:hAnsi="仿宋_GB2312" w:eastAsia="仿宋_GB2312" w:cs="仿宋_GB2312"/>
          <w:b w:val="0"/>
          <w:bCs w:val="0"/>
          <w:color w:val="auto"/>
          <w:sz w:val="32"/>
          <w:szCs w:val="32"/>
          <w:u w:val="none" w:color="auto"/>
          <w:lang w:eastAsia="zh-CN"/>
        </w:rPr>
        <w:t>市本级乡村振兴驻村干部补助经费及奖励资金。</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七</w:t>
      </w: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交通运输支出</w:t>
      </w:r>
      <w:r>
        <w:rPr>
          <w:rFonts w:hint="eastAsia" w:ascii="楷体_GB2312" w:hAnsi="楷体_GB2312" w:eastAsia="楷体_GB2312" w:cs="楷体_GB2312"/>
          <w:b w:val="0"/>
          <w:bCs w:val="0"/>
          <w:color w:val="auto"/>
          <w:kern w:val="0"/>
          <w:sz w:val="32"/>
          <w:szCs w:val="32"/>
          <w:u w:val="none" w:color="auto"/>
        </w:rPr>
        <w:t>（类）</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lang w:eastAsia="zh-CN"/>
        </w:rPr>
        <w:t>交通运输支出</w:t>
      </w:r>
      <w:r>
        <w:rPr>
          <w:rFonts w:hint="eastAsia" w:ascii="仿宋_GB2312" w:hAnsi="仿宋_GB2312" w:eastAsia="仿宋_GB2312" w:cs="仿宋_GB2312"/>
          <w:b w:val="0"/>
          <w:bCs w:val="0"/>
          <w:color w:val="auto"/>
          <w:kern w:val="0"/>
          <w:sz w:val="32"/>
          <w:szCs w:val="32"/>
          <w:u w:val="none" w:color="auto"/>
        </w:rPr>
        <w:t>（类）决算数为 </w:t>
      </w:r>
      <w:r>
        <w:rPr>
          <w:rFonts w:hint="eastAsia" w:ascii="仿宋_GB2312" w:hAnsi="仿宋_GB2312" w:eastAsia="仿宋_GB2312" w:cs="仿宋_GB2312"/>
          <w:b w:val="0"/>
          <w:bCs w:val="0"/>
          <w:color w:val="auto"/>
          <w:kern w:val="0"/>
          <w:sz w:val="32"/>
          <w:szCs w:val="32"/>
          <w:u w:val="none" w:color="auto"/>
          <w:lang w:val="en-US" w:eastAsia="zh-CN"/>
        </w:rPr>
        <w:t>539</w:t>
      </w:r>
      <w:r>
        <w:rPr>
          <w:rFonts w:hint="eastAsia" w:ascii="仿宋_GB2312" w:hAnsi="仿宋_GB2312" w:eastAsia="仿宋_GB2312" w:cs="仿宋_GB2312"/>
          <w:b w:val="0"/>
          <w:bCs w:val="0"/>
          <w:color w:val="auto"/>
          <w:kern w:val="0"/>
          <w:sz w:val="32"/>
          <w:szCs w:val="32"/>
          <w:u w:val="none" w:color="auto"/>
        </w:rPr>
        <w:t>万元，与年初预算相比</w:t>
      </w:r>
      <w:r>
        <w:rPr>
          <w:rFonts w:hint="eastAsia" w:ascii="仿宋_GB2312" w:hAnsi="仿宋_GB2312" w:eastAsia="仿宋_GB2312" w:cs="仿宋_GB2312"/>
          <w:b w:val="0"/>
          <w:bCs w:val="0"/>
          <w:color w:val="auto"/>
          <w:kern w:val="0"/>
          <w:sz w:val="32"/>
          <w:szCs w:val="32"/>
          <w:u w:val="none" w:color="auto"/>
          <w:lang w:eastAsia="zh-CN"/>
        </w:rPr>
        <w:t>增加</w:t>
      </w:r>
      <w:r>
        <w:rPr>
          <w:rFonts w:hint="eastAsia" w:ascii="仿宋_GB2312" w:hAnsi="仿宋_GB2312" w:eastAsia="仿宋_GB2312" w:cs="仿宋_GB2312"/>
          <w:b w:val="0"/>
          <w:bCs w:val="0"/>
          <w:color w:val="auto"/>
          <w:kern w:val="0"/>
          <w:sz w:val="32"/>
          <w:szCs w:val="32"/>
          <w:u w:val="none" w:color="auto"/>
        </w:rPr>
        <w:t xml:space="preserve"> </w:t>
      </w:r>
      <w:r>
        <w:rPr>
          <w:rFonts w:hint="eastAsia" w:ascii="仿宋_GB2312" w:hAnsi="仿宋_GB2312" w:eastAsia="仿宋_GB2312" w:cs="仿宋_GB2312"/>
          <w:b w:val="0"/>
          <w:bCs w:val="0"/>
          <w:color w:val="auto"/>
          <w:kern w:val="0"/>
          <w:sz w:val="32"/>
          <w:szCs w:val="32"/>
          <w:u w:val="none" w:color="auto"/>
          <w:lang w:val="en-US" w:eastAsia="zh-CN"/>
        </w:rPr>
        <w:t>539</w:t>
      </w:r>
      <w:r>
        <w:rPr>
          <w:rFonts w:hint="eastAsia" w:ascii="仿宋_GB2312" w:hAnsi="仿宋_GB2312" w:eastAsia="仿宋_GB2312" w:cs="仿宋_GB2312"/>
          <w:b w:val="0"/>
          <w:bCs w:val="0"/>
          <w:color w:val="auto"/>
          <w:kern w:val="0"/>
          <w:sz w:val="32"/>
          <w:szCs w:val="32"/>
          <w:u w:val="none" w:color="auto"/>
        </w:rPr>
        <w:t>万元。其中：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eastAsia="zh-CN"/>
        </w:rPr>
        <w:t>公路水路运输（款)公路建设（项）。年初预算</w:t>
      </w:r>
      <w:r>
        <w:rPr>
          <w:rFonts w:hint="eastAsia" w:ascii="仿宋_GB2312" w:hAnsi="仿宋_GB2312" w:eastAsia="仿宋_GB2312" w:cs="仿宋_GB2312"/>
          <w:b w:val="0"/>
          <w:bCs w:val="0"/>
          <w:color w:val="auto"/>
          <w:kern w:val="0"/>
          <w:sz w:val="32"/>
          <w:szCs w:val="32"/>
          <w:u w:val="none" w:color="auto"/>
          <w:lang w:val="en-US" w:eastAsia="zh-CN"/>
        </w:rPr>
        <w:t>0</w:t>
      </w:r>
      <w:r>
        <w:rPr>
          <w:rFonts w:hint="eastAsia" w:ascii="仿宋_GB2312" w:hAnsi="仿宋_GB2312" w:eastAsia="仿宋_GB2312" w:cs="仿宋_GB2312"/>
          <w:b w:val="0"/>
          <w:bCs w:val="0"/>
          <w:color w:val="auto"/>
          <w:sz w:val="32"/>
          <w:szCs w:val="32"/>
          <w:u w:val="none" w:color="auto"/>
          <w:lang w:eastAsia="zh-CN"/>
        </w:rPr>
        <w:t>万元，支出决算</w:t>
      </w:r>
      <w:r>
        <w:rPr>
          <w:rFonts w:hint="eastAsia" w:ascii="仿宋_GB2312" w:hAnsi="仿宋_GB2312" w:eastAsia="仿宋_GB2312" w:cs="仿宋_GB2312"/>
          <w:b w:val="0"/>
          <w:bCs w:val="0"/>
          <w:color w:val="auto"/>
          <w:kern w:val="0"/>
          <w:sz w:val="32"/>
          <w:szCs w:val="32"/>
          <w:u w:val="none" w:color="auto"/>
          <w:lang w:val="en-US" w:eastAsia="zh-CN"/>
        </w:rPr>
        <w:t>539</w:t>
      </w:r>
      <w:r>
        <w:rPr>
          <w:rFonts w:hint="eastAsia" w:ascii="仿宋_GB2312" w:hAnsi="仿宋_GB2312" w:eastAsia="仿宋_GB2312" w:cs="仿宋_GB2312"/>
          <w:b w:val="0"/>
          <w:bCs w:val="0"/>
          <w:color w:val="auto"/>
          <w:sz w:val="32"/>
          <w:szCs w:val="32"/>
          <w:u w:val="none" w:color="auto"/>
          <w:lang w:eastAsia="zh-CN"/>
        </w:rPr>
        <w:t>万元。决算数与年初预算数的差异原因：</w:t>
      </w:r>
      <w:r>
        <w:rPr>
          <w:rFonts w:hint="eastAsia" w:ascii="仿宋_GB2312" w:hAnsi="仿宋_GB2312" w:eastAsia="仿宋_GB2312" w:cs="仿宋_GB2312"/>
          <w:b w:val="0"/>
          <w:bCs w:val="0"/>
          <w:color w:val="auto"/>
          <w:kern w:val="0"/>
          <w:sz w:val="32"/>
          <w:szCs w:val="32"/>
          <w:u w:val="none" w:color="auto"/>
          <w:lang w:eastAsia="zh-CN"/>
        </w:rPr>
        <w:t>年度中间追加新增预算项目为</w:t>
      </w:r>
      <w:r>
        <w:rPr>
          <w:rFonts w:hint="eastAsia" w:ascii="仿宋_GB2312" w:hAnsi="仿宋_GB2312" w:eastAsia="仿宋_GB2312" w:cs="仿宋_GB2312"/>
          <w:b w:val="0"/>
          <w:bCs w:val="0"/>
          <w:color w:val="auto"/>
          <w:sz w:val="32"/>
          <w:szCs w:val="32"/>
          <w:u w:val="none" w:color="auto"/>
          <w:lang w:eastAsia="zh-CN"/>
        </w:rPr>
        <w:t>2024年车辆购置税收补助地方资金（第三批）、2024年自治区财政一般公共预算资金用于公路建设支出及2024年车辆购置税收入补助地方“以奖代补”资金。</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楷体_GB2312" w:hAnsi="楷体_GB2312" w:eastAsia="楷体_GB2312" w:cs="楷体_GB2312"/>
          <w:b w:val="0"/>
          <w:bCs w:val="0"/>
          <w:color w:val="auto"/>
          <w:sz w:val="32"/>
          <w:szCs w:val="32"/>
          <w:u w:val="none" w:color="auto"/>
        </w:rPr>
      </w:pPr>
      <w:r>
        <w:rPr>
          <w:rFonts w:hint="eastAsia" w:ascii="楷体_GB2312" w:hAnsi="楷体_GB2312" w:eastAsia="楷体_GB2312" w:cs="楷体_GB2312"/>
          <w:b w:val="0"/>
          <w:bCs w:val="0"/>
          <w:color w:val="auto"/>
          <w:sz w:val="32"/>
          <w:szCs w:val="32"/>
          <w:u w:val="none" w:color="auto"/>
        </w:rPr>
        <w:t>（</w:t>
      </w:r>
      <w:r>
        <w:rPr>
          <w:rFonts w:hint="eastAsia" w:ascii="楷体_GB2312" w:hAnsi="楷体_GB2312" w:eastAsia="楷体_GB2312" w:cs="楷体_GB2312"/>
          <w:b w:val="0"/>
          <w:bCs w:val="0"/>
          <w:color w:val="auto"/>
          <w:sz w:val="32"/>
          <w:szCs w:val="32"/>
          <w:u w:val="none" w:color="auto"/>
          <w:lang w:eastAsia="zh-CN"/>
        </w:rPr>
        <w:t>八</w:t>
      </w:r>
      <w:r>
        <w:rPr>
          <w:rFonts w:hint="eastAsia" w:ascii="楷体_GB2312" w:hAnsi="楷体_GB2312" w:eastAsia="楷体_GB2312" w:cs="楷体_GB2312"/>
          <w:b w:val="0"/>
          <w:bCs w:val="0"/>
          <w:color w:val="auto"/>
          <w:sz w:val="32"/>
          <w:szCs w:val="32"/>
          <w:u w:val="none" w:color="auto"/>
        </w:rPr>
        <w:t>）资源勘探工业信息等支出（类）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rPr>
        <w:t>资源勘探工业信息等支出</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类</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决算数为</w:t>
      </w:r>
      <w:r>
        <w:rPr>
          <w:rFonts w:hint="eastAsia" w:ascii="仿宋_GB2312" w:hAnsi="仿宋_GB2312" w:eastAsia="仿宋_GB2312" w:cs="仿宋_GB2312"/>
          <w:b w:val="0"/>
          <w:bCs w:val="0"/>
          <w:color w:val="auto"/>
          <w:kern w:val="0"/>
          <w:sz w:val="32"/>
          <w:szCs w:val="32"/>
          <w:u w:val="none" w:color="auto"/>
          <w:lang w:val="en-US" w:eastAsia="zh-CN"/>
        </w:rPr>
        <w:t>1586.58</w:t>
      </w:r>
      <w:r>
        <w:rPr>
          <w:rFonts w:hint="eastAsia" w:ascii="仿宋_GB2312" w:hAnsi="仿宋_GB2312" w:eastAsia="仿宋_GB2312" w:cs="仿宋_GB2312"/>
          <w:b w:val="0"/>
          <w:bCs w:val="0"/>
          <w:color w:val="auto"/>
          <w:sz w:val="32"/>
          <w:szCs w:val="32"/>
          <w:u w:val="none" w:color="auto"/>
        </w:rPr>
        <w:t>万元，与年初预算相比</w:t>
      </w:r>
      <w:r>
        <w:rPr>
          <w:rFonts w:hint="eastAsia" w:ascii="仿宋_GB2312" w:hAnsi="仿宋_GB2312" w:eastAsia="仿宋_GB2312" w:cs="仿宋_GB2312"/>
          <w:b w:val="0"/>
          <w:bCs w:val="0"/>
          <w:color w:val="auto"/>
          <w:sz w:val="32"/>
          <w:szCs w:val="32"/>
          <w:u w:val="none" w:color="auto"/>
          <w:lang w:eastAsia="zh-CN"/>
        </w:rPr>
        <w:t>减少</w:t>
      </w:r>
      <w:r>
        <w:rPr>
          <w:rFonts w:hint="eastAsia" w:ascii="仿宋_GB2312" w:hAnsi="仿宋_GB2312" w:eastAsia="仿宋_GB2312" w:cs="仿宋_GB2312"/>
          <w:b w:val="0"/>
          <w:bCs w:val="0"/>
          <w:color w:val="auto"/>
          <w:kern w:val="0"/>
          <w:sz w:val="32"/>
          <w:szCs w:val="32"/>
          <w:u w:val="none" w:color="auto"/>
          <w:lang w:val="en-US" w:eastAsia="zh-CN"/>
        </w:rPr>
        <w:t>2549.6</w:t>
      </w:r>
      <w:r>
        <w:rPr>
          <w:rFonts w:hint="eastAsia" w:ascii="仿宋_GB2312" w:hAnsi="仿宋_GB2312" w:eastAsia="仿宋_GB2312" w:cs="仿宋_GB2312"/>
          <w:b w:val="0"/>
          <w:bCs w:val="0"/>
          <w:color w:val="auto"/>
          <w:sz w:val="32"/>
          <w:szCs w:val="32"/>
          <w:u w:val="none" w:color="auto"/>
        </w:rPr>
        <w:t>万元。其中：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rPr>
        <w:t>支持中小企业发展和管理支出（款）其他支持中小企业发展和管理支出（项）。年初预算</w:t>
      </w:r>
      <w:r>
        <w:rPr>
          <w:rFonts w:hint="eastAsia" w:ascii="仿宋_GB2312" w:hAnsi="仿宋_GB2312" w:eastAsia="仿宋_GB2312" w:cs="仿宋_GB2312"/>
          <w:b w:val="0"/>
          <w:bCs w:val="0"/>
          <w:color w:val="auto"/>
          <w:kern w:val="0"/>
          <w:sz w:val="32"/>
          <w:szCs w:val="32"/>
          <w:u w:val="none" w:color="auto"/>
          <w:lang w:val="en-US" w:eastAsia="zh-CN"/>
        </w:rPr>
        <w:t>4136.18</w:t>
      </w:r>
      <w:r>
        <w:rPr>
          <w:rFonts w:hint="eastAsia" w:ascii="仿宋_GB2312" w:hAnsi="仿宋_GB2312" w:eastAsia="仿宋_GB2312" w:cs="仿宋_GB2312"/>
          <w:b w:val="0"/>
          <w:bCs w:val="0"/>
          <w:color w:val="auto"/>
          <w:sz w:val="32"/>
          <w:szCs w:val="32"/>
          <w:u w:val="none" w:color="auto"/>
        </w:rPr>
        <w:t>万元，支出决算</w:t>
      </w:r>
      <w:r>
        <w:rPr>
          <w:rFonts w:hint="eastAsia" w:ascii="仿宋_GB2312" w:hAnsi="仿宋_GB2312" w:eastAsia="仿宋_GB2312" w:cs="仿宋_GB2312"/>
          <w:b w:val="0"/>
          <w:bCs w:val="0"/>
          <w:color w:val="auto"/>
          <w:kern w:val="0"/>
          <w:sz w:val="32"/>
          <w:szCs w:val="32"/>
          <w:u w:val="none" w:color="auto"/>
          <w:lang w:val="en-US" w:eastAsia="zh-CN"/>
        </w:rPr>
        <w:t>1586.58</w:t>
      </w:r>
      <w:r>
        <w:rPr>
          <w:rFonts w:hint="eastAsia" w:ascii="仿宋_GB2312" w:hAnsi="仿宋_GB2312" w:eastAsia="仿宋_GB2312" w:cs="仿宋_GB2312"/>
          <w:b w:val="0"/>
          <w:bCs w:val="0"/>
          <w:color w:val="auto"/>
          <w:sz w:val="32"/>
          <w:szCs w:val="32"/>
          <w:u w:val="none" w:color="auto"/>
        </w:rPr>
        <w:t>万元，完成预算的</w:t>
      </w:r>
      <w:r>
        <w:rPr>
          <w:rFonts w:hint="eastAsia" w:ascii="仿宋_GB2312" w:hAnsi="仿宋_GB2312" w:eastAsia="仿宋_GB2312" w:cs="仿宋_GB2312"/>
          <w:b w:val="0"/>
          <w:bCs w:val="0"/>
          <w:color w:val="auto"/>
          <w:kern w:val="0"/>
          <w:sz w:val="32"/>
          <w:szCs w:val="32"/>
          <w:u w:val="none" w:color="auto"/>
          <w:lang w:val="en-US" w:eastAsia="zh-CN"/>
        </w:rPr>
        <w:t>38.36</w:t>
      </w:r>
      <w:r>
        <w:rPr>
          <w:rFonts w:hint="eastAsia" w:ascii="仿宋_GB2312" w:hAnsi="仿宋_GB2312" w:eastAsia="仿宋_GB2312" w:cs="仿宋_GB2312"/>
          <w:b w:val="0"/>
          <w:bCs w:val="0"/>
          <w:color w:val="auto"/>
          <w:sz w:val="32"/>
          <w:szCs w:val="32"/>
          <w:u w:val="none" w:color="auto"/>
        </w:rPr>
        <w:t>%。决算数与年初预算数的差异原因：</w:t>
      </w:r>
      <w:r>
        <w:rPr>
          <w:rFonts w:hint="eastAsia" w:ascii="仿宋_GB2312" w:hAnsi="仿宋_GB2312" w:eastAsia="仿宋_GB2312" w:cs="仿宋_GB2312"/>
          <w:b w:val="0"/>
          <w:bCs w:val="0"/>
          <w:color w:val="auto"/>
          <w:kern w:val="2"/>
          <w:sz w:val="32"/>
          <w:szCs w:val="32"/>
          <w:highlight w:val="none"/>
          <w:u w:val="none" w:color="auto"/>
          <w:lang w:val="en-US" w:eastAsia="zh-CN" w:bidi="ar-SA"/>
        </w:rPr>
        <w:t>部分项目未达到付款条件，如：赤峰高新技术产业开发区2#固废处理场工程项目、赤峰高新区有色金属高端新材料产业标准化厂房（一期）建设项目、赤峰高新区东山产业园高端陶瓷材料制品标准化厂房建设项目及赤峰高新区东山产业园赤泥堆场工程项目等</w:t>
      </w:r>
      <w:r>
        <w:rPr>
          <w:rFonts w:hint="eastAsia" w:ascii="仿宋_GB2312" w:hAnsi="仿宋_GB2312" w:eastAsia="仿宋_GB2312" w:cs="仿宋_GB2312"/>
          <w:b w:val="0"/>
          <w:bCs w:val="0"/>
          <w:color w:val="auto"/>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九</w:t>
      </w: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商业服务业等支出</w:t>
      </w:r>
      <w:r>
        <w:rPr>
          <w:rFonts w:hint="eastAsia" w:ascii="楷体_GB2312" w:hAnsi="楷体_GB2312" w:eastAsia="楷体_GB2312" w:cs="楷体_GB2312"/>
          <w:b w:val="0"/>
          <w:bCs w:val="0"/>
          <w:color w:val="auto"/>
          <w:kern w:val="0"/>
          <w:sz w:val="32"/>
          <w:szCs w:val="32"/>
          <w:u w:val="none" w:color="auto"/>
        </w:rPr>
        <w:t>（类）</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lang w:eastAsia="zh-CN"/>
        </w:rPr>
        <w:t>商业服务业等支出</w:t>
      </w:r>
      <w:r>
        <w:rPr>
          <w:rFonts w:hint="eastAsia" w:ascii="仿宋_GB2312" w:hAnsi="仿宋_GB2312" w:eastAsia="仿宋_GB2312" w:cs="仿宋_GB2312"/>
          <w:b w:val="0"/>
          <w:bCs w:val="0"/>
          <w:color w:val="auto"/>
          <w:kern w:val="0"/>
          <w:sz w:val="32"/>
          <w:szCs w:val="32"/>
          <w:u w:val="none" w:color="auto"/>
        </w:rPr>
        <w:t>（类）决算数为 </w:t>
      </w:r>
      <w:r>
        <w:rPr>
          <w:rFonts w:hint="eastAsia" w:ascii="仿宋_GB2312" w:hAnsi="仿宋_GB2312" w:eastAsia="仿宋_GB2312" w:cs="仿宋_GB2312"/>
          <w:b w:val="0"/>
          <w:bCs w:val="0"/>
          <w:color w:val="auto"/>
          <w:kern w:val="0"/>
          <w:sz w:val="32"/>
          <w:szCs w:val="32"/>
          <w:u w:val="none" w:color="auto"/>
          <w:lang w:val="en-US" w:eastAsia="zh-CN"/>
        </w:rPr>
        <w:t>565.12</w:t>
      </w:r>
      <w:r>
        <w:rPr>
          <w:rFonts w:hint="eastAsia" w:ascii="仿宋_GB2312" w:hAnsi="仿宋_GB2312" w:eastAsia="仿宋_GB2312" w:cs="仿宋_GB2312"/>
          <w:b w:val="0"/>
          <w:bCs w:val="0"/>
          <w:color w:val="auto"/>
          <w:kern w:val="0"/>
          <w:sz w:val="32"/>
          <w:szCs w:val="32"/>
          <w:u w:val="none" w:color="auto"/>
        </w:rPr>
        <w:t>万元，与年初预算相比</w:t>
      </w:r>
      <w:r>
        <w:rPr>
          <w:rFonts w:hint="eastAsia" w:ascii="仿宋_GB2312" w:hAnsi="仿宋_GB2312" w:eastAsia="仿宋_GB2312" w:cs="仿宋_GB2312"/>
          <w:b w:val="0"/>
          <w:bCs w:val="0"/>
          <w:color w:val="auto"/>
          <w:kern w:val="0"/>
          <w:sz w:val="32"/>
          <w:szCs w:val="32"/>
          <w:u w:val="none" w:color="auto"/>
          <w:lang w:eastAsia="zh-CN"/>
        </w:rPr>
        <w:t>增加</w:t>
      </w:r>
      <w:r>
        <w:rPr>
          <w:rFonts w:hint="eastAsia" w:ascii="仿宋_GB2312" w:hAnsi="仿宋_GB2312" w:eastAsia="仿宋_GB2312" w:cs="仿宋_GB2312"/>
          <w:b w:val="0"/>
          <w:bCs w:val="0"/>
          <w:color w:val="auto"/>
          <w:kern w:val="0"/>
          <w:sz w:val="32"/>
          <w:szCs w:val="32"/>
          <w:u w:val="none" w:color="auto"/>
        </w:rPr>
        <w:t xml:space="preserve"> </w:t>
      </w:r>
      <w:r>
        <w:rPr>
          <w:rFonts w:hint="eastAsia" w:ascii="仿宋_GB2312" w:hAnsi="仿宋_GB2312" w:eastAsia="仿宋_GB2312" w:cs="仿宋_GB2312"/>
          <w:b w:val="0"/>
          <w:bCs w:val="0"/>
          <w:color w:val="auto"/>
          <w:kern w:val="0"/>
          <w:sz w:val="32"/>
          <w:szCs w:val="32"/>
          <w:u w:val="none" w:color="auto"/>
          <w:lang w:val="en-US" w:eastAsia="zh-CN"/>
        </w:rPr>
        <w:t>565.12</w:t>
      </w:r>
      <w:r>
        <w:rPr>
          <w:rFonts w:hint="eastAsia" w:ascii="仿宋_GB2312" w:hAnsi="仿宋_GB2312" w:eastAsia="仿宋_GB2312" w:cs="仿宋_GB2312"/>
          <w:b w:val="0"/>
          <w:bCs w:val="0"/>
          <w:color w:val="auto"/>
          <w:kern w:val="0"/>
          <w:sz w:val="32"/>
          <w:szCs w:val="32"/>
          <w:u w:val="none" w:color="auto"/>
        </w:rPr>
        <w:t>万元。其中：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eastAsia="zh-CN"/>
        </w:rPr>
        <w:t>商业流通事务（款)其他商业流通事务支出（项）。年初预算</w:t>
      </w:r>
      <w:r>
        <w:rPr>
          <w:rFonts w:hint="eastAsia" w:ascii="仿宋_GB2312" w:hAnsi="仿宋_GB2312" w:eastAsia="仿宋_GB2312" w:cs="仿宋_GB2312"/>
          <w:b w:val="0"/>
          <w:bCs w:val="0"/>
          <w:color w:val="auto"/>
          <w:kern w:val="0"/>
          <w:sz w:val="32"/>
          <w:szCs w:val="32"/>
          <w:u w:val="none" w:color="auto"/>
          <w:lang w:val="en-US" w:eastAsia="zh-CN"/>
        </w:rPr>
        <w:t>0</w:t>
      </w:r>
      <w:r>
        <w:rPr>
          <w:rFonts w:hint="eastAsia" w:ascii="仿宋_GB2312" w:hAnsi="仿宋_GB2312" w:eastAsia="仿宋_GB2312" w:cs="仿宋_GB2312"/>
          <w:b w:val="0"/>
          <w:bCs w:val="0"/>
          <w:color w:val="auto"/>
          <w:sz w:val="32"/>
          <w:szCs w:val="32"/>
          <w:u w:val="none" w:color="auto"/>
          <w:lang w:eastAsia="zh-CN"/>
        </w:rPr>
        <w:t>万元，支出决算</w:t>
      </w:r>
      <w:r>
        <w:rPr>
          <w:rFonts w:hint="eastAsia" w:ascii="仿宋_GB2312" w:hAnsi="仿宋_GB2312" w:eastAsia="仿宋_GB2312" w:cs="仿宋_GB2312"/>
          <w:b w:val="0"/>
          <w:bCs w:val="0"/>
          <w:color w:val="auto"/>
          <w:kern w:val="0"/>
          <w:sz w:val="32"/>
          <w:szCs w:val="32"/>
          <w:u w:val="none" w:color="auto"/>
          <w:lang w:val="en-US" w:eastAsia="zh-CN"/>
        </w:rPr>
        <w:t>94.43</w:t>
      </w:r>
      <w:r>
        <w:rPr>
          <w:rFonts w:hint="eastAsia" w:ascii="仿宋_GB2312" w:hAnsi="仿宋_GB2312" w:eastAsia="仿宋_GB2312" w:cs="仿宋_GB2312"/>
          <w:b w:val="0"/>
          <w:bCs w:val="0"/>
          <w:color w:val="auto"/>
          <w:sz w:val="32"/>
          <w:szCs w:val="32"/>
          <w:u w:val="none" w:color="auto"/>
          <w:lang w:eastAsia="zh-CN"/>
        </w:rPr>
        <w:t>万元。决算数与年初预算数的差异原因：</w:t>
      </w:r>
      <w:r>
        <w:rPr>
          <w:rFonts w:hint="eastAsia" w:ascii="仿宋_GB2312" w:hAnsi="仿宋_GB2312" w:eastAsia="仿宋_GB2312" w:cs="仿宋_GB2312"/>
          <w:b w:val="0"/>
          <w:bCs w:val="0"/>
          <w:color w:val="auto"/>
          <w:kern w:val="0"/>
          <w:sz w:val="32"/>
          <w:szCs w:val="32"/>
          <w:u w:val="none" w:color="auto"/>
          <w:lang w:eastAsia="zh-CN"/>
        </w:rPr>
        <w:t>年度中间追加新增预算项目为</w:t>
      </w:r>
      <w:r>
        <w:rPr>
          <w:rFonts w:hint="eastAsia" w:ascii="仿宋_GB2312" w:hAnsi="仿宋_GB2312" w:eastAsia="仿宋_GB2312" w:cs="仿宋_GB2312"/>
          <w:b w:val="0"/>
          <w:bCs w:val="0"/>
          <w:color w:val="auto"/>
          <w:sz w:val="32"/>
          <w:szCs w:val="32"/>
          <w:u w:val="none" w:color="auto"/>
          <w:lang w:eastAsia="zh-CN"/>
        </w:rPr>
        <w:t>2022年度工业园区考核评价资金（招商引资绩效考核奖励资金）。</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2.</w:t>
      </w:r>
      <w:r>
        <w:rPr>
          <w:rFonts w:hint="eastAsia" w:ascii="仿宋_GB2312" w:hAnsi="仿宋_GB2312" w:eastAsia="仿宋_GB2312" w:cs="仿宋_GB2312"/>
          <w:b w:val="0"/>
          <w:bCs w:val="0"/>
          <w:color w:val="auto"/>
          <w:sz w:val="32"/>
          <w:szCs w:val="32"/>
          <w:u w:val="none" w:color="auto"/>
          <w:lang w:eastAsia="zh-CN"/>
        </w:rPr>
        <w:t>其他商业服务业等支出（款其他商业服务业等支出（项）。年初预算</w:t>
      </w:r>
      <w:r>
        <w:rPr>
          <w:rFonts w:hint="eastAsia" w:ascii="仿宋_GB2312" w:hAnsi="仿宋_GB2312" w:eastAsia="仿宋_GB2312" w:cs="仿宋_GB2312"/>
          <w:b w:val="0"/>
          <w:bCs w:val="0"/>
          <w:color w:val="auto"/>
          <w:kern w:val="0"/>
          <w:sz w:val="32"/>
          <w:szCs w:val="32"/>
          <w:u w:val="none" w:color="auto"/>
          <w:lang w:val="en-US" w:eastAsia="zh-CN"/>
        </w:rPr>
        <w:t>0</w:t>
      </w:r>
      <w:r>
        <w:rPr>
          <w:rFonts w:hint="eastAsia" w:ascii="仿宋_GB2312" w:hAnsi="仿宋_GB2312" w:eastAsia="仿宋_GB2312" w:cs="仿宋_GB2312"/>
          <w:b w:val="0"/>
          <w:bCs w:val="0"/>
          <w:color w:val="auto"/>
          <w:sz w:val="32"/>
          <w:szCs w:val="32"/>
          <w:u w:val="none" w:color="auto"/>
          <w:lang w:eastAsia="zh-CN"/>
        </w:rPr>
        <w:t>万元，支出决算</w:t>
      </w:r>
      <w:r>
        <w:rPr>
          <w:rFonts w:hint="eastAsia" w:ascii="仿宋_GB2312" w:hAnsi="仿宋_GB2312" w:eastAsia="仿宋_GB2312" w:cs="仿宋_GB2312"/>
          <w:b w:val="0"/>
          <w:bCs w:val="0"/>
          <w:color w:val="auto"/>
          <w:kern w:val="0"/>
          <w:sz w:val="32"/>
          <w:szCs w:val="32"/>
          <w:u w:val="none" w:color="auto"/>
          <w:lang w:val="en-US" w:eastAsia="zh-CN"/>
        </w:rPr>
        <w:t>470.69</w:t>
      </w:r>
      <w:r>
        <w:rPr>
          <w:rFonts w:hint="eastAsia" w:ascii="仿宋_GB2312" w:hAnsi="仿宋_GB2312" w:eastAsia="仿宋_GB2312" w:cs="仿宋_GB2312"/>
          <w:b w:val="0"/>
          <w:bCs w:val="0"/>
          <w:color w:val="auto"/>
          <w:sz w:val="32"/>
          <w:szCs w:val="32"/>
          <w:u w:val="none" w:color="auto"/>
          <w:lang w:eastAsia="zh-CN"/>
        </w:rPr>
        <w:t>万元。决算数与年初预算数的差异原因：</w:t>
      </w:r>
      <w:r>
        <w:rPr>
          <w:rFonts w:hint="eastAsia" w:ascii="仿宋_GB2312" w:hAnsi="仿宋_GB2312" w:eastAsia="仿宋_GB2312" w:cs="仿宋_GB2312"/>
          <w:b w:val="0"/>
          <w:bCs w:val="0"/>
          <w:color w:val="auto"/>
          <w:kern w:val="0"/>
          <w:sz w:val="32"/>
          <w:szCs w:val="32"/>
          <w:u w:val="none" w:color="auto"/>
          <w:lang w:eastAsia="zh-CN"/>
        </w:rPr>
        <w:t>年度中间追加新增预算项目为</w:t>
      </w:r>
      <w:r>
        <w:rPr>
          <w:rFonts w:hint="eastAsia" w:ascii="仿宋_GB2312" w:hAnsi="仿宋_GB2312" w:eastAsia="仿宋_GB2312" w:cs="仿宋_GB2312"/>
          <w:b w:val="0"/>
          <w:bCs w:val="0"/>
          <w:color w:val="auto"/>
          <w:sz w:val="32"/>
          <w:szCs w:val="32"/>
          <w:u w:val="none" w:color="auto"/>
          <w:lang w:eastAsia="zh-CN"/>
        </w:rPr>
        <w:t>2022年度工业园区考核评价资金（招商引资绩效考核奖励资金）。</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both"/>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十</w:t>
      </w:r>
      <w:r>
        <w:rPr>
          <w:rFonts w:hint="eastAsia" w:ascii="楷体_GB2312" w:hAnsi="楷体_GB2312" w:eastAsia="楷体_GB2312" w:cs="楷体_GB2312"/>
          <w:b w:val="0"/>
          <w:bCs w:val="0"/>
          <w:color w:val="auto"/>
          <w:kern w:val="0"/>
          <w:sz w:val="32"/>
          <w:szCs w:val="32"/>
          <w:u w:val="none" w:color="auto"/>
        </w:rPr>
        <w:t>）住房保障支出（类）</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住房保障支出（类）决算数为 38.40万元，与年初预算相比减少 1.79万元。其中：</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rPr>
        <w:t>住房改革支出（款）住房公积金（项）。年初预算</w:t>
      </w:r>
      <w:r>
        <w:rPr>
          <w:rFonts w:hint="eastAsia" w:ascii="仿宋_GB2312" w:hAnsi="仿宋_GB2312" w:eastAsia="仿宋_GB2312" w:cs="仿宋_GB2312"/>
          <w:b w:val="0"/>
          <w:bCs w:val="0"/>
          <w:color w:val="auto"/>
          <w:kern w:val="0"/>
          <w:sz w:val="32"/>
          <w:szCs w:val="32"/>
          <w:u w:val="none" w:color="auto"/>
        </w:rPr>
        <w:t> </w:t>
      </w:r>
      <w:r>
        <w:rPr>
          <w:rFonts w:hint="eastAsia" w:ascii="仿宋_GB2312" w:hAnsi="仿宋_GB2312" w:eastAsia="仿宋_GB2312" w:cs="仿宋_GB2312"/>
          <w:b w:val="0"/>
          <w:bCs w:val="0"/>
          <w:color w:val="auto"/>
          <w:kern w:val="0"/>
          <w:sz w:val="32"/>
          <w:szCs w:val="32"/>
          <w:u w:val="none" w:color="auto"/>
          <w:lang w:val="en-US" w:eastAsia="zh-CN"/>
        </w:rPr>
        <w:t>40.19</w:t>
      </w:r>
      <w:r>
        <w:rPr>
          <w:rFonts w:hint="eastAsia" w:ascii="仿宋_GB2312" w:hAnsi="仿宋_GB2312" w:eastAsia="仿宋_GB2312" w:cs="仿宋_GB2312"/>
          <w:b w:val="0"/>
          <w:bCs w:val="0"/>
          <w:color w:val="auto"/>
          <w:sz w:val="32"/>
          <w:szCs w:val="32"/>
          <w:u w:val="none" w:color="auto"/>
        </w:rPr>
        <w:t>万元，支出决算</w:t>
      </w:r>
      <w:r>
        <w:rPr>
          <w:rFonts w:hint="eastAsia" w:ascii="仿宋_GB2312" w:hAnsi="仿宋_GB2312" w:eastAsia="仿宋_GB2312" w:cs="仿宋_GB2312"/>
          <w:b w:val="0"/>
          <w:bCs w:val="0"/>
          <w:color w:val="auto"/>
          <w:kern w:val="0"/>
          <w:sz w:val="32"/>
          <w:szCs w:val="32"/>
          <w:u w:val="none" w:color="auto"/>
        </w:rPr>
        <w:t> 38.40</w:t>
      </w:r>
      <w:r>
        <w:rPr>
          <w:rFonts w:hint="eastAsia" w:ascii="仿宋_GB2312" w:hAnsi="仿宋_GB2312" w:eastAsia="仿宋_GB2312" w:cs="仿宋_GB2312"/>
          <w:b w:val="0"/>
          <w:bCs w:val="0"/>
          <w:color w:val="auto"/>
          <w:sz w:val="32"/>
          <w:szCs w:val="32"/>
          <w:u w:val="none" w:color="auto"/>
        </w:rPr>
        <w:t>万元，完成年初预算的</w:t>
      </w:r>
      <w:r>
        <w:rPr>
          <w:rFonts w:hint="eastAsia" w:ascii="仿宋_GB2312" w:hAnsi="仿宋_GB2312" w:eastAsia="仿宋_GB2312" w:cs="仿宋_GB2312"/>
          <w:b w:val="0"/>
          <w:bCs w:val="0"/>
          <w:color w:val="auto"/>
          <w:sz w:val="32"/>
          <w:szCs w:val="32"/>
          <w:u w:val="none" w:color="auto"/>
          <w:lang w:val="en-US" w:eastAsia="zh-CN"/>
        </w:rPr>
        <w:t>95.55</w:t>
      </w:r>
      <w:r>
        <w:rPr>
          <w:rFonts w:hint="eastAsia" w:ascii="仿宋_GB2312" w:hAnsi="仿宋_GB2312" w:eastAsia="仿宋_GB2312" w:cs="仿宋_GB2312"/>
          <w:b w:val="0"/>
          <w:bCs w:val="0"/>
          <w:color w:val="auto"/>
          <w:sz w:val="32"/>
          <w:szCs w:val="32"/>
          <w:u w:val="none" w:color="auto"/>
        </w:rPr>
        <w:t>%。决算数与年初预算数的差异原因：</w:t>
      </w:r>
      <w:r>
        <w:rPr>
          <w:rFonts w:hint="eastAsia" w:ascii="仿宋_GB2312" w:hAnsi="仿宋_GB2312" w:eastAsia="仿宋_GB2312" w:cs="仿宋_GB2312"/>
          <w:b w:val="0"/>
          <w:bCs w:val="0"/>
          <w:color w:val="auto"/>
          <w:kern w:val="0"/>
          <w:sz w:val="32"/>
          <w:szCs w:val="32"/>
          <w:u w:val="none" w:color="auto"/>
          <w:lang w:val="en-US" w:eastAsia="zh-CN"/>
        </w:rPr>
        <w:t>年度中间有人员变动，在职人数变动导致住房公积金支出较年初有所减少。</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lang w:eastAsia="zh-CN"/>
        </w:rPr>
        <w:t>六、</w:t>
      </w:r>
      <w:r>
        <w:rPr>
          <w:rFonts w:hint="eastAsia" w:ascii="黑体" w:hAnsi="黑体" w:eastAsia="黑体" w:cs="黑体"/>
          <w:b w:val="0"/>
          <w:bCs w:val="0"/>
          <w:color w:val="auto"/>
          <w:kern w:val="0"/>
          <w:sz w:val="32"/>
          <w:szCs w:val="32"/>
          <w:u w:val="none" w:color="auto"/>
        </w:rPr>
        <w:t>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内蒙古赤峰高新技术产业开发区管理委员会 2024年度一般公共预算财政拨款基本支出决算 488.84万元，其中：</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（一）人员经费 450.31万元。</w:t>
      </w:r>
      <w:r>
        <w:rPr>
          <w:rFonts w:hint="eastAsia" w:ascii="仿宋_GB2312" w:hAnsi="仿宋_GB2312" w:eastAsia="仿宋_GB2312" w:cs="仿宋_GB2312"/>
          <w:b w:val="0"/>
          <w:bCs w:val="0"/>
          <w:color w:val="auto"/>
          <w:kern w:val="0"/>
          <w:sz w:val="32"/>
          <w:szCs w:val="32"/>
          <w:u w:val="none" w:color="auto"/>
        </w:rPr>
        <w:t>主要包括：基本工资</w:t>
      </w:r>
      <w:r>
        <w:rPr>
          <w:rFonts w:hint="eastAsia" w:ascii="仿宋_GB2312" w:hAnsi="仿宋_GB2312" w:eastAsia="仿宋_GB2312" w:cs="仿宋_GB2312"/>
          <w:b w:val="0"/>
          <w:bCs w:val="0"/>
          <w:color w:val="auto"/>
          <w:kern w:val="0"/>
          <w:sz w:val="32"/>
          <w:szCs w:val="32"/>
          <w:u w:val="none" w:color="auto"/>
          <w:lang w:val="en-US" w:eastAsia="zh-CN"/>
        </w:rPr>
        <w:t>148.92万元</w:t>
      </w:r>
      <w:r>
        <w:rPr>
          <w:rFonts w:hint="eastAsia" w:ascii="仿宋_GB2312" w:hAnsi="仿宋_GB2312" w:eastAsia="仿宋_GB2312" w:cs="仿宋_GB2312"/>
          <w:b w:val="0"/>
          <w:bCs w:val="0"/>
          <w:color w:val="auto"/>
          <w:kern w:val="0"/>
          <w:sz w:val="32"/>
          <w:szCs w:val="32"/>
          <w:u w:val="none" w:color="auto"/>
        </w:rPr>
        <w:t>、津贴补贴</w:t>
      </w:r>
      <w:r>
        <w:rPr>
          <w:rFonts w:hint="eastAsia" w:ascii="仿宋_GB2312" w:hAnsi="仿宋_GB2312" w:eastAsia="仿宋_GB2312" w:cs="仿宋_GB2312"/>
          <w:b w:val="0"/>
          <w:bCs w:val="0"/>
          <w:color w:val="auto"/>
          <w:kern w:val="0"/>
          <w:sz w:val="32"/>
          <w:szCs w:val="32"/>
          <w:u w:val="none" w:color="auto"/>
          <w:lang w:val="en-US" w:eastAsia="zh-CN"/>
        </w:rPr>
        <w:t>97.19万元</w:t>
      </w:r>
      <w:r>
        <w:rPr>
          <w:rFonts w:hint="eastAsia" w:ascii="仿宋_GB2312" w:hAnsi="仿宋_GB2312" w:eastAsia="仿宋_GB2312" w:cs="仿宋_GB2312"/>
          <w:b w:val="0"/>
          <w:bCs w:val="0"/>
          <w:color w:val="auto"/>
          <w:kern w:val="0"/>
          <w:sz w:val="32"/>
          <w:szCs w:val="32"/>
          <w:u w:val="none" w:color="auto"/>
        </w:rPr>
        <w:t>、奖金</w:t>
      </w:r>
      <w:r>
        <w:rPr>
          <w:rFonts w:hint="eastAsia" w:ascii="仿宋_GB2312" w:hAnsi="仿宋_GB2312" w:eastAsia="仿宋_GB2312" w:cs="仿宋_GB2312"/>
          <w:b w:val="0"/>
          <w:bCs w:val="0"/>
          <w:color w:val="auto"/>
          <w:kern w:val="0"/>
          <w:sz w:val="32"/>
          <w:szCs w:val="32"/>
          <w:u w:val="none" w:color="auto"/>
          <w:lang w:val="en-US" w:eastAsia="zh-CN"/>
        </w:rPr>
        <w:t>39.51万元</w:t>
      </w:r>
      <w:r>
        <w:rPr>
          <w:rFonts w:hint="eastAsia" w:ascii="仿宋_GB2312" w:hAnsi="仿宋_GB2312" w:eastAsia="仿宋_GB2312" w:cs="仿宋_GB2312"/>
          <w:b w:val="0"/>
          <w:bCs w:val="0"/>
          <w:color w:val="auto"/>
          <w:kern w:val="0"/>
          <w:sz w:val="32"/>
          <w:szCs w:val="32"/>
          <w:u w:val="none" w:color="auto"/>
        </w:rPr>
        <w:t>、绩效工资</w:t>
      </w:r>
      <w:r>
        <w:rPr>
          <w:rFonts w:hint="eastAsia" w:ascii="仿宋_GB2312" w:hAnsi="仿宋_GB2312" w:eastAsia="仿宋_GB2312" w:cs="仿宋_GB2312"/>
          <w:b w:val="0"/>
          <w:bCs w:val="0"/>
          <w:color w:val="auto"/>
          <w:kern w:val="0"/>
          <w:sz w:val="32"/>
          <w:szCs w:val="32"/>
          <w:u w:val="none" w:color="auto"/>
          <w:lang w:val="en-US" w:eastAsia="zh-CN"/>
        </w:rPr>
        <w:t>39万元</w:t>
      </w:r>
      <w:r>
        <w:rPr>
          <w:rFonts w:hint="eastAsia" w:ascii="仿宋_GB2312" w:hAnsi="仿宋_GB2312" w:eastAsia="仿宋_GB2312" w:cs="仿宋_GB2312"/>
          <w:b w:val="0"/>
          <w:bCs w:val="0"/>
          <w:color w:val="auto"/>
          <w:kern w:val="0"/>
          <w:sz w:val="32"/>
          <w:szCs w:val="32"/>
          <w:u w:val="none" w:color="auto"/>
        </w:rPr>
        <w:t>、机关事业单位基本养老保险缴费</w:t>
      </w:r>
      <w:r>
        <w:rPr>
          <w:rFonts w:hint="eastAsia" w:ascii="仿宋_GB2312" w:hAnsi="仿宋_GB2312" w:eastAsia="仿宋_GB2312" w:cs="仿宋_GB2312"/>
          <w:b w:val="0"/>
          <w:bCs w:val="0"/>
          <w:color w:val="auto"/>
          <w:kern w:val="0"/>
          <w:sz w:val="32"/>
          <w:szCs w:val="32"/>
          <w:u w:val="none" w:color="auto"/>
          <w:lang w:val="en-US" w:eastAsia="zh-CN"/>
        </w:rPr>
        <w:t>44.94万元</w:t>
      </w:r>
      <w:r>
        <w:rPr>
          <w:rFonts w:hint="eastAsia" w:ascii="仿宋_GB2312" w:hAnsi="仿宋_GB2312" w:eastAsia="仿宋_GB2312" w:cs="仿宋_GB2312"/>
          <w:b w:val="0"/>
          <w:bCs w:val="0"/>
          <w:color w:val="auto"/>
          <w:kern w:val="0"/>
          <w:sz w:val="32"/>
          <w:szCs w:val="32"/>
          <w:u w:val="none" w:color="auto"/>
        </w:rPr>
        <w:t>、职业年金缴费</w:t>
      </w:r>
      <w:r>
        <w:rPr>
          <w:rFonts w:hint="eastAsia" w:ascii="仿宋_GB2312" w:hAnsi="仿宋_GB2312" w:eastAsia="仿宋_GB2312" w:cs="仿宋_GB2312"/>
          <w:b w:val="0"/>
          <w:bCs w:val="0"/>
          <w:color w:val="auto"/>
          <w:kern w:val="0"/>
          <w:sz w:val="32"/>
          <w:szCs w:val="32"/>
          <w:u w:val="none" w:color="auto"/>
          <w:lang w:val="en-US" w:eastAsia="zh-CN"/>
        </w:rPr>
        <w:t>9.9万元</w:t>
      </w:r>
      <w:r>
        <w:rPr>
          <w:rFonts w:hint="eastAsia" w:ascii="仿宋_GB2312" w:hAnsi="仿宋_GB2312" w:eastAsia="仿宋_GB2312" w:cs="仿宋_GB2312"/>
          <w:b w:val="0"/>
          <w:bCs w:val="0"/>
          <w:color w:val="auto"/>
          <w:kern w:val="0"/>
          <w:sz w:val="32"/>
          <w:szCs w:val="32"/>
          <w:u w:val="none" w:color="auto"/>
        </w:rPr>
        <w:t>、职工基本医疗保险缴费</w:t>
      </w:r>
      <w:r>
        <w:rPr>
          <w:rFonts w:hint="eastAsia" w:ascii="仿宋_GB2312" w:hAnsi="仿宋_GB2312" w:eastAsia="仿宋_GB2312" w:cs="仿宋_GB2312"/>
          <w:b w:val="0"/>
          <w:bCs w:val="0"/>
          <w:color w:val="auto"/>
          <w:kern w:val="0"/>
          <w:sz w:val="32"/>
          <w:szCs w:val="32"/>
          <w:u w:val="none" w:color="auto"/>
          <w:lang w:val="en-US" w:eastAsia="zh-CN"/>
        </w:rPr>
        <w:t>23.13万元</w:t>
      </w:r>
      <w:r>
        <w:rPr>
          <w:rFonts w:hint="eastAsia" w:ascii="仿宋_GB2312" w:hAnsi="仿宋_GB2312" w:eastAsia="仿宋_GB2312" w:cs="仿宋_GB2312"/>
          <w:b w:val="0"/>
          <w:bCs w:val="0"/>
          <w:color w:val="auto"/>
          <w:kern w:val="0"/>
          <w:sz w:val="32"/>
          <w:szCs w:val="32"/>
          <w:u w:val="none" w:color="auto"/>
        </w:rPr>
        <w:t>、公务员医疗补助缴费</w:t>
      </w:r>
      <w:r>
        <w:rPr>
          <w:rFonts w:hint="eastAsia" w:ascii="仿宋_GB2312" w:hAnsi="仿宋_GB2312" w:eastAsia="仿宋_GB2312" w:cs="仿宋_GB2312"/>
          <w:b w:val="0"/>
          <w:bCs w:val="0"/>
          <w:color w:val="auto"/>
          <w:kern w:val="0"/>
          <w:sz w:val="32"/>
          <w:szCs w:val="32"/>
          <w:u w:val="none" w:color="auto"/>
          <w:lang w:val="en-US" w:eastAsia="zh-CN"/>
        </w:rPr>
        <w:t>0.5万元</w:t>
      </w:r>
      <w:r>
        <w:rPr>
          <w:rFonts w:hint="eastAsia" w:ascii="仿宋_GB2312" w:hAnsi="仿宋_GB2312" w:eastAsia="仿宋_GB2312" w:cs="仿宋_GB2312"/>
          <w:b w:val="0"/>
          <w:bCs w:val="0"/>
          <w:color w:val="auto"/>
          <w:kern w:val="0"/>
          <w:sz w:val="32"/>
          <w:szCs w:val="32"/>
          <w:u w:val="none" w:color="auto"/>
        </w:rPr>
        <w:t>、</w:t>
      </w:r>
      <w:r>
        <w:rPr>
          <w:rFonts w:hint="eastAsia" w:ascii="仿宋_GB2312" w:hAnsi="仿宋_GB2312" w:eastAsia="仿宋_GB2312" w:cs="仿宋_GB2312"/>
          <w:b w:val="0"/>
          <w:bCs w:val="0"/>
          <w:color w:val="auto"/>
          <w:kern w:val="0"/>
          <w:sz w:val="32"/>
          <w:szCs w:val="32"/>
          <w:u w:val="none" w:color="auto"/>
          <w:lang w:eastAsia="zh-CN"/>
        </w:rPr>
        <w:t>其他社会保障缴费</w:t>
      </w:r>
      <w:r>
        <w:rPr>
          <w:rFonts w:hint="eastAsia" w:ascii="仿宋_GB2312" w:hAnsi="仿宋_GB2312" w:eastAsia="仿宋_GB2312" w:cs="仿宋_GB2312"/>
          <w:b w:val="0"/>
          <w:bCs w:val="0"/>
          <w:color w:val="auto"/>
          <w:kern w:val="0"/>
          <w:sz w:val="32"/>
          <w:szCs w:val="32"/>
          <w:u w:val="none" w:color="auto"/>
          <w:lang w:val="en-US" w:eastAsia="zh-CN"/>
        </w:rPr>
        <w:t>1.31万元、</w:t>
      </w:r>
      <w:r>
        <w:rPr>
          <w:rFonts w:hint="eastAsia" w:ascii="仿宋_GB2312" w:hAnsi="仿宋_GB2312" w:eastAsia="仿宋_GB2312" w:cs="仿宋_GB2312"/>
          <w:b w:val="0"/>
          <w:bCs w:val="0"/>
          <w:color w:val="auto"/>
          <w:kern w:val="0"/>
          <w:sz w:val="32"/>
          <w:szCs w:val="32"/>
          <w:u w:val="none" w:color="auto"/>
        </w:rPr>
        <w:t>住房公积金</w:t>
      </w:r>
      <w:r>
        <w:rPr>
          <w:rFonts w:hint="eastAsia" w:ascii="仿宋_GB2312" w:hAnsi="仿宋_GB2312" w:eastAsia="仿宋_GB2312" w:cs="仿宋_GB2312"/>
          <w:b w:val="0"/>
          <w:bCs w:val="0"/>
          <w:color w:val="auto"/>
          <w:kern w:val="0"/>
          <w:sz w:val="32"/>
          <w:szCs w:val="32"/>
          <w:u w:val="none" w:color="auto"/>
          <w:lang w:val="en-US" w:eastAsia="zh-CN"/>
        </w:rPr>
        <w:t>38.4万元</w:t>
      </w:r>
      <w:r>
        <w:rPr>
          <w:rFonts w:hint="eastAsia" w:ascii="仿宋_GB2312" w:hAnsi="仿宋_GB2312" w:eastAsia="仿宋_GB2312" w:cs="仿宋_GB2312"/>
          <w:b w:val="0"/>
          <w:bCs w:val="0"/>
          <w:color w:val="auto"/>
          <w:kern w:val="0"/>
          <w:sz w:val="32"/>
          <w:szCs w:val="32"/>
          <w:u w:val="none" w:color="auto"/>
        </w:rPr>
        <w:t>、生活补助</w:t>
      </w:r>
      <w:r>
        <w:rPr>
          <w:rFonts w:hint="eastAsia" w:ascii="仿宋_GB2312" w:hAnsi="仿宋_GB2312" w:eastAsia="仿宋_GB2312" w:cs="仿宋_GB2312"/>
          <w:b w:val="0"/>
          <w:bCs w:val="0"/>
          <w:color w:val="auto"/>
          <w:kern w:val="0"/>
          <w:sz w:val="32"/>
          <w:szCs w:val="32"/>
          <w:u w:val="none" w:color="auto"/>
          <w:lang w:val="en-US" w:eastAsia="zh-CN"/>
        </w:rPr>
        <w:t>7.52万元</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（二）公用经费 38.53万元。</w:t>
      </w:r>
      <w:r>
        <w:rPr>
          <w:rFonts w:hint="eastAsia" w:ascii="仿宋_GB2312" w:hAnsi="仿宋_GB2312" w:eastAsia="仿宋_GB2312" w:cs="仿宋_GB2312"/>
          <w:b w:val="0"/>
          <w:bCs w:val="0"/>
          <w:color w:val="auto"/>
          <w:kern w:val="0"/>
          <w:sz w:val="32"/>
          <w:szCs w:val="32"/>
          <w:u w:val="none" w:color="auto"/>
        </w:rPr>
        <w:t>主要包括：办公费</w:t>
      </w:r>
      <w:r>
        <w:rPr>
          <w:rFonts w:hint="eastAsia" w:ascii="仿宋_GB2312" w:hAnsi="仿宋_GB2312" w:eastAsia="仿宋_GB2312" w:cs="仿宋_GB2312"/>
          <w:b w:val="0"/>
          <w:bCs w:val="0"/>
          <w:color w:val="auto"/>
          <w:kern w:val="0"/>
          <w:sz w:val="32"/>
          <w:szCs w:val="32"/>
          <w:u w:val="none" w:color="auto"/>
          <w:lang w:val="en-US" w:eastAsia="zh-CN"/>
        </w:rPr>
        <w:t>6.16万元</w:t>
      </w:r>
      <w:r>
        <w:rPr>
          <w:rFonts w:hint="eastAsia" w:ascii="仿宋_GB2312" w:hAnsi="仿宋_GB2312" w:eastAsia="仿宋_GB2312" w:cs="仿宋_GB2312"/>
          <w:b w:val="0"/>
          <w:bCs w:val="0"/>
          <w:color w:val="auto"/>
          <w:kern w:val="0"/>
          <w:sz w:val="32"/>
          <w:szCs w:val="32"/>
          <w:u w:val="none" w:color="auto"/>
        </w:rPr>
        <w:t>、电费</w:t>
      </w:r>
      <w:r>
        <w:rPr>
          <w:rFonts w:hint="eastAsia" w:ascii="仿宋_GB2312" w:hAnsi="仿宋_GB2312" w:eastAsia="仿宋_GB2312" w:cs="仿宋_GB2312"/>
          <w:b w:val="0"/>
          <w:bCs w:val="0"/>
          <w:color w:val="auto"/>
          <w:kern w:val="0"/>
          <w:sz w:val="32"/>
          <w:szCs w:val="32"/>
          <w:u w:val="none" w:color="auto"/>
          <w:lang w:val="en-US" w:eastAsia="zh-CN"/>
        </w:rPr>
        <w:t>1.12万元</w:t>
      </w:r>
      <w:r>
        <w:rPr>
          <w:rFonts w:hint="eastAsia" w:ascii="仿宋_GB2312" w:hAnsi="仿宋_GB2312" w:eastAsia="仿宋_GB2312" w:cs="仿宋_GB2312"/>
          <w:b w:val="0"/>
          <w:bCs w:val="0"/>
          <w:color w:val="auto"/>
          <w:kern w:val="0"/>
          <w:sz w:val="32"/>
          <w:szCs w:val="32"/>
          <w:u w:val="none" w:color="auto"/>
        </w:rPr>
        <w:t>、邮电费</w:t>
      </w:r>
      <w:r>
        <w:rPr>
          <w:rFonts w:hint="eastAsia" w:ascii="仿宋_GB2312" w:hAnsi="仿宋_GB2312" w:eastAsia="仿宋_GB2312" w:cs="仿宋_GB2312"/>
          <w:b w:val="0"/>
          <w:bCs w:val="0"/>
          <w:color w:val="auto"/>
          <w:kern w:val="0"/>
          <w:sz w:val="32"/>
          <w:szCs w:val="32"/>
          <w:u w:val="none" w:color="auto"/>
          <w:lang w:val="en-US" w:eastAsia="zh-CN"/>
        </w:rPr>
        <w:t>0.42万元</w:t>
      </w:r>
      <w:r>
        <w:rPr>
          <w:rFonts w:hint="eastAsia" w:ascii="仿宋_GB2312" w:hAnsi="仿宋_GB2312" w:eastAsia="仿宋_GB2312" w:cs="仿宋_GB2312"/>
          <w:b w:val="0"/>
          <w:bCs w:val="0"/>
          <w:color w:val="auto"/>
          <w:kern w:val="0"/>
          <w:sz w:val="32"/>
          <w:szCs w:val="32"/>
          <w:u w:val="none" w:color="auto"/>
        </w:rPr>
        <w:t>、租赁费</w:t>
      </w:r>
      <w:r>
        <w:rPr>
          <w:rFonts w:hint="eastAsia" w:ascii="仿宋_GB2312" w:hAnsi="仿宋_GB2312" w:eastAsia="仿宋_GB2312" w:cs="仿宋_GB2312"/>
          <w:b w:val="0"/>
          <w:bCs w:val="0"/>
          <w:color w:val="auto"/>
          <w:kern w:val="0"/>
          <w:sz w:val="32"/>
          <w:szCs w:val="32"/>
          <w:u w:val="none" w:color="auto"/>
          <w:lang w:val="en-US" w:eastAsia="zh-CN"/>
        </w:rPr>
        <w:t>3.4万元</w:t>
      </w:r>
      <w:r>
        <w:rPr>
          <w:rFonts w:hint="eastAsia" w:ascii="仿宋_GB2312" w:hAnsi="仿宋_GB2312" w:eastAsia="仿宋_GB2312" w:cs="仿宋_GB2312"/>
          <w:b w:val="0"/>
          <w:bCs w:val="0"/>
          <w:color w:val="auto"/>
          <w:kern w:val="0"/>
          <w:sz w:val="32"/>
          <w:szCs w:val="32"/>
          <w:u w:val="none" w:color="auto"/>
        </w:rPr>
        <w:t>、福利费</w:t>
      </w:r>
      <w:r>
        <w:rPr>
          <w:rFonts w:hint="eastAsia" w:ascii="仿宋_GB2312" w:hAnsi="仿宋_GB2312" w:eastAsia="仿宋_GB2312" w:cs="仿宋_GB2312"/>
          <w:b w:val="0"/>
          <w:bCs w:val="0"/>
          <w:color w:val="auto"/>
          <w:kern w:val="0"/>
          <w:sz w:val="32"/>
          <w:szCs w:val="32"/>
          <w:u w:val="none" w:color="auto"/>
          <w:lang w:val="en-US" w:eastAsia="zh-CN"/>
        </w:rPr>
        <w:t>5.87万元</w:t>
      </w:r>
      <w:r>
        <w:rPr>
          <w:rFonts w:hint="eastAsia" w:ascii="仿宋_GB2312" w:hAnsi="仿宋_GB2312" w:eastAsia="仿宋_GB2312" w:cs="仿宋_GB2312"/>
          <w:b w:val="0"/>
          <w:bCs w:val="0"/>
          <w:color w:val="auto"/>
          <w:kern w:val="0"/>
          <w:sz w:val="32"/>
          <w:szCs w:val="32"/>
          <w:u w:val="none" w:color="auto"/>
        </w:rPr>
        <w:t>、公务用车运行维护费</w:t>
      </w:r>
      <w:r>
        <w:rPr>
          <w:rFonts w:hint="eastAsia" w:ascii="仿宋_GB2312" w:hAnsi="仿宋_GB2312" w:eastAsia="仿宋_GB2312" w:cs="仿宋_GB2312"/>
          <w:b w:val="0"/>
          <w:bCs w:val="0"/>
          <w:color w:val="auto"/>
          <w:kern w:val="0"/>
          <w:sz w:val="32"/>
          <w:szCs w:val="32"/>
          <w:u w:val="none" w:color="auto"/>
          <w:lang w:val="en-US" w:eastAsia="zh-CN"/>
        </w:rPr>
        <w:t>5万元</w:t>
      </w:r>
      <w:r>
        <w:rPr>
          <w:rFonts w:hint="eastAsia" w:ascii="仿宋_GB2312" w:hAnsi="仿宋_GB2312" w:eastAsia="仿宋_GB2312" w:cs="仿宋_GB2312"/>
          <w:b w:val="0"/>
          <w:bCs w:val="0"/>
          <w:color w:val="auto"/>
          <w:kern w:val="0"/>
          <w:sz w:val="32"/>
          <w:szCs w:val="32"/>
          <w:u w:val="none" w:color="auto"/>
        </w:rPr>
        <w:t>、其他交通费用</w:t>
      </w:r>
      <w:r>
        <w:rPr>
          <w:rFonts w:hint="eastAsia" w:ascii="仿宋_GB2312" w:hAnsi="仿宋_GB2312" w:eastAsia="仿宋_GB2312" w:cs="仿宋_GB2312"/>
          <w:b w:val="0"/>
          <w:bCs w:val="0"/>
          <w:color w:val="auto"/>
          <w:kern w:val="0"/>
          <w:sz w:val="32"/>
          <w:szCs w:val="32"/>
          <w:u w:val="none" w:color="auto"/>
          <w:lang w:val="en-US" w:eastAsia="zh-CN"/>
        </w:rPr>
        <w:t>16.56万元</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内蒙古赤峰高新技术产业开发区管理委员会 2024年度一般公共预算财政拨款项目支出决算 60199.04万元，其中：</w:t>
      </w:r>
    </w:p>
    <w:p>
      <w:pPr>
        <w:keepNext w:val="0"/>
        <w:keepLines w:val="0"/>
        <w:pageBreakBefore w:val="0"/>
        <w:widowControl/>
        <w:numPr>
          <w:ilvl w:val="0"/>
          <w:numId w:val="4"/>
        </w:numPr>
        <w:kinsoku/>
        <w:wordWrap/>
        <w:overflowPunct/>
        <w:topLinePunct w:val="0"/>
        <w:autoSpaceDE/>
        <w:autoSpaceDN/>
        <w:bidi w:val="0"/>
        <w:adjustRightInd/>
        <w:snapToGrid/>
        <w:spacing w:line="560" w:lineRule="atLeast"/>
        <w:ind w:firstLine="640" w:firstLineChars="200"/>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工资福利支出 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楷体_GB2312" w:hAnsi="楷体_GB2312" w:eastAsia="楷体_GB2312" w:cs="楷体_GB2312"/>
          <w:sz w:val="32"/>
          <w:szCs w:val="32"/>
        </w:rPr>
        <w:t>商品和服务支出 1536.58万元。</w:t>
      </w:r>
      <w:r>
        <w:rPr>
          <w:rFonts w:hint="eastAsia" w:ascii="仿宋_GB2312" w:hAnsi="仿宋_GB2312" w:eastAsia="仿宋_GB2312" w:cs="仿宋_GB2312"/>
          <w:sz w:val="32"/>
          <w:szCs w:val="32"/>
        </w:rPr>
        <w:t>主要包括：办公费30.7万元、印刷费54.38万元、手续费0.02万元、水费0.86万元、电费11.56万元、邮电费0.46万元、取暖费25.54万元、物业管理费164.7万元、差旅费82.18万元、维修（护）费8.48万元、租赁费100.91万元、会议费12.69万元、培训费22.03万元、公务接待费7.98万元、专用材料费13.88万元、劳务费64.65万元、委托业务费844.61万元、其他交通费用15.28万元、其他商品和服务支出75.64万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color="auto"/>
        </w:rPr>
      </w:pPr>
      <w:r>
        <w:rPr>
          <w:rFonts w:hint="eastAsia" w:ascii="楷体_GB2312" w:hAnsi="楷体_GB2312" w:eastAsia="楷体_GB2312" w:cs="楷体_GB2312"/>
          <w:b w:val="0"/>
          <w:bCs w:val="0"/>
          <w:color w:val="auto"/>
          <w:sz w:val="32"/>
          <w:szCs w:val="32"/>
          <w:u w:val="none" w:color="auto"/>
        </w:rPr>
        <w:t>（三）对个人和家庭的补助支出</w:t>
      </w:r>
      <w:r>
        <w:rPr>
          <w:rFonts w:hint="eastAsia" w:ascii="楷体_GB2312" w:hAnsi="楷体_GB2312" w:eastAsia="楷体_GB2312" w:cs="楷体_GB2312"/>
          <w:b w:val="0"/>
          <w:bCs w:val="0"/>
          <w:color w:val="auto"/>
          <w:kern w:val="0"/>
          <w:sz w:val="32"/>
          <w:szCs w:val="32"/>
          <w:u w:val="none" w:color="auto"/>
        </w:rPr>
        <w:t xml:space="preserve"> </w:t>
      </w:r>
      <w:r>
        <w:rPr>
          <w:rFonts w:hint="eastAsia" w:ascii="楷体_GB2312" w:hAnsi="楷体_GB2312" w:eastAsia="楷体_GB2312" w:cs="楷体_GB2312"/>
          <w:b w:val="0"/>
          <w:bCs w:val="0"/>
          <w:color w:val="auto"/>
          <w:kern w:val="0"/>
          <w:sz w:val="32"/>
          <w:szCs w:val="32"/>
          <w:u w:val="none" w:color="auto"/>
          <w:lang w:val="en-US" w:eastAsia="zh-CN"/>
        </w:rPr>
        <w:t>2.45</w:t>
      </w:r>
      <w:r>
        <w:rPr>
          <w:rFonts w:hint="eastAsia" w:ascii="楷体_GB2312" w:hAnsi="楷体_GB2312" w:eastAsia="楷体_GB2312" w:cs="楷体_GB2312"/>
          <w:b w:val="0"/>
          <w:bCs w:val="0"/>
          <w:color w:val="auto"/>
          <w:sz w:val="32"/>
          <w:szCs w:val="32"/>
          <w:u w:val="none" w:color="auto"/>
        </w:rPr>
        <w:t>万元。</w:t>
      </w:r>
      <w:r>
        <w:rPr>
          <w:rFonts w:hint="eastAsia" w:ascii="仿宋_GB2312" w:hAnsi="仿宋_GB2312" w:eastAsia="仿宋_GB2312" w:cs="仿宋_GB2312"/>
          <w:b w:val="0"/>
          <w:bCs w:val="0"/>
          <w:color w:val="auto"/>
          <w:sz w:val="32"/>
          <w:szCs w:val="32"/>
          <w:u w:val="none" w:color="auto"/>
        </w:rPr>
        <w:t>主要包括奖励金</w:t>
      </w:r>
      <w:r>
        <w:rPr>
          <w:rFonts w:hint="eastAsia" w:ascii="仿宋_GB2312" w:hAnsi="仿宋_GB2312" w:eastAsia="仿宋_GB2312" w:cs="仿宋_GB2312"/>
          <w:b w:val="0"/>
          <w:bCs w:val="0"/>
          <w:color w:val="auto"/>
          <w:sz w:val="32"/>
          <w:szCs w:val="32"/>
          <w:u w:val="none" w:color="auto"/>
          <w:lang w:val="en-US" w:eastAsia="zh-CN"/>
        </w:rPr>
        <w:t>0.45</w:t>
      </w:r>
      <w:r>
        <w:rPr>
          <w:rFonts w:hint="eastAsia" w:ascii="仿宋_GB2312" w:hAnsi="仿宋_GB2312" w:eastAsia="仿宋_GB2312" w:cs="仿宋_GB2312"/>
          <w:b w:val="0"/>
          <w:bCs w:val="0"/>
          <w:color w:val="auto"/>
          <w:sz w:val="32"/>
          <w:szCs w:val="32"/>
          <w:u w:val="none" w:color="auto"/>
        </w:rPr>
        <w:t>万元、其他对个人和家庭的补助</w:t>
      </w:r>
      <w:r>
        <w:rPr>
          <w:rFonts w:hint="eastAsia" w:ascii="仿宋_GB2312" w:hAnsi="仿宋_GB2312" w:eastAsia="仿宋_GB2312" w:cs="仿宋_GB2312"/>
          <w:b w:val="0"/>
          <w:bCs w:val="0"/>
          <w:color w:val="auto"/>
          <w:sz w:val="32"/>
          <w:szCs w:val="32"/>
          <w:u w:val="none" w:color="auto"/>
          <w:lang w:val="en-US" w:eastAsia="zh-CN"/>
        </w:rPr>
        <w:t>2</w:t>
      </w:r>
      <w:r>
        <w:rPr>
          <w:rFonts w:hint="eastAsia" w:ascii="仿宋_GB2312" w:hAnsi="仿宋_GB2312" w:eastAsia="仿宋_GB2312" w:cs="仿宋_GB2312"/>
          <w:b w:val="0"/>
          <w:bCs w:val="0"/>
          <w:color w:val="auto"/>
          <w:sz w:val="32"/>
          <w:szCs w:val="32"/>
          <w:u w:val="none" w:color="auto"/>
        </w:rPr>
        <w:t>万元。开支人员经费的主要原因驻村补助</w:t>
      </w:r>
      <w:r>
        <w:rPr>
          <w:rFonts w:hint="eastAsia" w:ascii="仿宋_GB2312" w:hAnsi="仿宋_GB2312" w:eastAsia="仿宋_GB2312" w:cs="仿宋_GB2312"/>
          <w:b w:val="0"/>
          <w:bCs w:val="0"/>
          <w:color w:val="auto"/>
          <w:sz w:val="32"/>
          <w:szCs w:val="32"/>
          <w:u w:val="none" w:color="auto"/>
          <w:lang w:eastAsia="zh-CN"/>
        </w:rPr>
        <w:t>、2022年度市直机关公务员奖励资金</w:t>
      </w:r>
      <w:r>
        <w:rPr>
          <w:rFonts w:hint="eastAsia" w:ascii="仿宋_GB2312" w:hAnsi="仿宋_GB2312" w:eastAsia="仿宋_GB2312" w:cs="仿宋_GB2312"/>
          <w:b w:val="0"/>
          <w:bCs w:val="0"/>
          <w:color w:val="auto"/>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sz w:val="32"/>
          <w:szCs w:val="32"/>
          <w:u w:val="none" w:color="auto"/>
        </w:rPr>
      </w:pP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四</w:t>
      </w:r>
      <w:r>
        <w:rPr>
          <w:rFonts w:hint="eastAsia" w:ascii="楷体_GB2312" w:hAnsi="楷体_GB2312" w:eastAsia="楷体_GB2312" w:cs="楷体_GB2312"/>
          <w:b w:val="0"/>
          <w:bCs w:val="0"/>
          <w:color w:val="auto"/>
          <w:kern w:val="0"/>
          <w:sz w:val="32"/>
          <w:szCs w:val="32"/>
          <w:u w:val="none" w:color="auto"/>
        </w:rPr>
        <w:t>）资本性支出</w:t>
      </w:r>
      <w:r>
        <w:rPr>
          <w:rFonts w:hint="eastAsia" w:ascii="楷体_GB2312" w:hAnsi="楷体_GB2312" w:eastAsia="楷体_GB2312" w:cs="楷体_GB2312"/>
          <w:b w:val="0"/>
          <w:bCs w:val="0"/>
          <w:color w:val="auto"/>
          <w:kern w:val="0"/>
          <w:sz w:val="32"/>
          <w:szCs w:val="32"/>
          <w:u w:val="none" w:color="auto"/>
          <w:lang w:eastAsia="zh-CN"/>
        </w:rPr>
        <w:t>（基本建设）</w:t>
      </w:r>
      <w:r>
        <w:rPr>
          <w:rFonts w:hint="eastAsia" w:ascii="楷体_GB2312" w:hAnsi="楷体_GB2312" w:eastAsia="楷体_GB2312" w:cs="楷体_GB2312"/>
          <w:b w:val="0"/>
          <w:bCs w:val="0"/>
          <w:color w:val="auto"/>
          <w:kern w:val="0"/>
          <w:sz w:val="32"/>
          <w:szCs w:val="32"/>
          <w:u w:val="none" w:color="auto"/>
        </w:rPr>
        <w:t xml:space="preserve"> </w:t>
      </w:r>
      <w:r>
        <w:rPr>
          <w:rFonts w:hint="eastAsia" w:ascii="楷体_GB2312" w:hAnsi="楷体_GB2312" w:eastAsia="楷体_GB2312" w:cs="楷体_GB2312"/>
          <w:b w:val="0"/>
          <w:bCs w:val="0"/>
          <w:color w:val="auto"/>
          <w:kern w:val="0"/>
          <w:sz w:val="32"/>
          <w:szCs w:val="32"/>
          <w:u w:val="none" w:color="auto"/>
          <w:lang w:val="en-US" w:eastAsia="zh-CN"/>
        </w:rPr>
        <w:t>500</w:t>
      </w:r>
      <w:r>
        <w:rPr>
          <w:rFonts w:hint="eastAsia" w:ascii="楷体_GB2312" w:hAnsi="楷体_GB2312" w:eastAsia="楷体_GB2312" w:cs="楷体_GB2312"/>
          <w:b w:val="0"/>
          <w:bCs w:val="0"/>
          <w:color w:val="auto"/>
          <w:kern w:val="0"/>
          <w:sz w:val="32"/>
          <w:szCs w:val="32"/>
          <w:u w:val="none" w:color="auto"/>
        </w:rPr>
        <w:t>万元。</w:t>
      </w:r>
      <w:r>
        <w:rPr>
          <w:rFonts w:hint="eastAsia" w:ascii="仿宋_GB2312" w:hAnsi="仿宋_GB2312" w:eastAsia="仿宋_GB2312" w:cs="仿宋_GB2312"/>
          <w:b w:val="0"/>
          <w:bCs w:val="0"/>
          <w:color w:val="auto"/>
          <w:kern w:val="0"/>
          <w:sz w:val="32"/>
          <w:szCs w:val="32"/>
          <w:u w:val="none" w:color="auto"/>
        </w:rPr>
        <w:t>主要包括：基础设施建设</w:t>
      </w:r>
      <w:r>
        <w:rPr>
          <w:rFonts w:hint="eastAsia" w:ascii="仿宋_GB2312" w:hAnsi="仿宋_GB2312" w:eastAsia="仿宋_GB2312" w:cs="仿宋_GB2312"/>
          <w:b w:val="0"/>
          <w:bCs w:val="0"/>
          <w:color w:val="auto"/>
          <w:kern w:val="0"/>
          <w:sz w:val="32"/>
          <w:szCs w:val="32"/>
          <w:u w:val="none" w:color="auto"/>
          <w:lang w:val="en-US" w:eastAsia="zh-CN"/>
        </w:rPr>
        <w:t>500万元</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w:t>
      </w:r>
      <w:r>
        <w:rPr>
          <w:rFonts w:hint="eastAsia" w:ascii="楷体_GB2312" w:hAnsi="楷体_GB2312" w:eastAsia="楷体_GB2312" w:cs="楷体_GB2312"/>
          <w:b w:val="0"/>
          <w:bCs w:val="0"/>
          <w:color w:val="auto"/>
          <w:kern w:val="0"/>
          <w:sz w:val="32"/>
          <w:szCs w:val="32"/>
          <w:u w:val="none" w:color="auto"/>
          <w:lang w:eastAsia="zh-CN"/>
        </w:rPr>
        <w:t>五</w:t>
      </w:r>
      <w:r>
        <w:rPr>
          <w:rFonts w:hint="eastAsia" w:ascii="楷体_GB2312" w:hAnsi="楷体_GB2312" w:eastAsia="楷体_GB2312" w:cs="楷体_GB2312"/>
          <w:b w:val="0"/>
          <w:bCs w:val="0"/>
          <w:color w:val="auto"/>
          <w:kern w:val="0"/>
          <w:sz w:val="32"/>
          <w:szCs w:val="32"/>
          <w:u w:val="none" w:color="auto"/>
        </w:rPr>
        <w:t>）资本性支出 58160.01万元。</w:t>
      </w:r>
      <w:r>
        <w:rPr>
          <w:rFonts w:hint="eastAsia" w:ascii="仿宋_GB2312" w:hAnsi="仿宋_GB2312" w:eastAsia="仿宋_GB2312" w:cs="仿宋_GB2312"/>
          <w:b w:val="0"/>
          <w:bCs w:val="0"/>
          <w:color w:val="auto"/>
          <w:kern w:val="0"/>
          <w:sz w:val="32"/>
          <w:szCs w:val="32"/>
          <w:u w:val="none" w:color="auto"/>
        </w:rPr>
        <w:t>主要包括：办公设备购置</w:t>
      </w:r>
      <w:r>
        <w:rPr>
          <w:rFonts w:hint="eastAsia" w:ascii="仿宋_GB2312" w:hAnsi="仿宋_GB2312" w:eastAsia="仿宋_GB2312" w:cs="仿宋_GB2312"/>
          <w:b w:val="0"/>
          <w:bCs w:val="0"/>
          <w:color w:val="auto"/>
          <w:kern w:val="0"/>
          <w:sz w:val="32"/>
          <w:szCs w:val="32"/>
          <w:u w:val="none" w:color="auto"/>
          <w:lang w:val="en-US" w:eastAsia="zh-CN"/>
        </w:rPr>
        <w:t>17.58万元</w:t>
      </w:r>
      <w:r>
        <w:rPr>
          <w:rFonts w:hint="eastAsia" w:ascii="仿宋_GB2312" w:hAnsi="仿宋_GB2312" w:eastAsia="仿宋_GB2312" w:cs="仿宋_GB2312"/>
          <w:b w:val="0"/>
          <w:bCs w:val="0"/>
          <w:color w:val="auto"/>
          <w:kern w:val="0"/>
          <w:sz w:val="32"/>
          <w:szCs w:val="32"/>
          <w:u w:val="none" w:color="auto"/>
        </w:rPr>
        <w:t>、基础设施建设</w:t>
      </w:r>
      <w:r>
        <w:rPr>
          <w:rFonts w:hint="eastAsia" w:ascii="仿宋_GB2312" w:hAnsi="仿宋_GB2312" w:eastAsia="仿宋_GB2312" w:cs="仿宋_GB2312"/>
          <w:b w:val="0"/>
          <w:bCs w:val="0"/>
          <w:color w:val="auto"/>
          <w:kern w:val="0"/>
          <w:sz w:val="32"/>
          <w:szCs w:val="32"/>
          <w:u w:val="none" w:color="auto"/>
          <w:lang w:val="en-US" w:eastAsia="zh-CN"/>
        </w:rPr>
        <w:t>32139.5万元</w:t>
      </w:r>
      <w:r>
        <w:rPr>
          <w:rFonts w:hint="eastAsia" w:ascii="仿宋_GB2312" w:hAnsi="仿宋_GB2312" w:eastAsia="仿宋_GB2312" w:cs="仿宋_GB2312"/>
          <w:b w:val="0"/>
          <w:bCs w:val="0"/>
          <w:color w:val="auto"/>
          <w:kern w:val="0"/>
          <w:sz w:val="32"/>
          <w:szCs w:val="32"/>
          <w:u w:val="none" w:color="auto"/>
        </w:rPr>
        <w:t>、大型修缮</w:t>
      </w:r>
      <w:r>
        <w:rPr>
          <w:rFonts w:hint="eastAsia" w:ascii="仿宋_GB2312" w:hAnsi="仿宋_GB2312" w:eastAsia="仿宋_GB2312" w:cs="仿宋_GB2312"/>
          <w:b w:val="0"/>
          <w:bCs w:val="0"/>
          <w:color w:val="auto"/>
          <w:kern w:val="0"/>
          <w:sz w:val="32"/>
          <w:szCs w:val="32"/>
          <w:u w:val="none" w:color="auto"/>
          <w:lang w:val="en-US" w:eastAsia="zh-CN"/>
        </w:rPr>
        <w:t>1184.88万元</w:t>
      </w:r>
      <w:r>
        <w:rPr>
          <w:rFonts w:hint="eastAsia" w:ascii="仿宋_GB2312" w:hAnsi="仿宋_GB2312" w:eastAsia="仿宋_GB2312" w:cs="仿宋_GB2312"/>
          <w:b w:val="0"/>
          <w:bCs w:val="0"/>
          <w:color w:val="auto"/>
          <w:kern w:val="0"/>
          <w:sz w:val="32"/>
          <w:szCs w:val="32"/>
          <w:u w:val="none" w:color="auto"/>
        </w:rPr>
        <w:t>、拆迁补偿</w:t>
      </w:r>
      <w:r>
        <w:rPr>
          <w:rFonts w:hint="eastAsia" w:ascii="仿宋_GB2312" w:hAnsi="仿宋_GB2312" w:eastAsia="仿宋_GB2312" w:cs="仿宋_GB2312"/>
          <w:b w:val="0"/>
          <w:bCs w:val="0"/>
          <w:color w:val="auto"/>
          <w:kern w:val="0"/>
          <w:sz w:val="32"/>
          <w:szCs w:val="32"/>
          <w:u w:val="none" w:color="auto"/>
          <w:lang w:val="en-US" w:eastAsia="zh-CN"/>
        </w:rPr>
        <w:t>24632万元</w:t>
      </w:r>
      <w:r>
        <w:rPr>
          <w:rFonts w:hint="eastAsia" w:ascii="仿宋_GB2312" w:hAnsi="仿宋_GB2312" w:eastAsia="仿宋_GB2312" w:cs="仿宋_GB2312"/>
          <w:b w:val="0"/>
          <w:bCs w:val="0"/>
          <w:color w:val="auto"/>
          <w:kern w:val="0"/>
          <w:sz w:val="32"/>
          <w:szCs w:val="32"/>
          <w:u w:val="none" w:color="auto"/>
        </w:rPr>
        <w:t>、其他资本性支出</w:t>
      </w:r>
      <w:r>
        <w:rPr>
          <w:rFonts w:hint="eastAsia" w:ascii="仿宋_GB2312" w:hAnsi="仿宋_GB2312" w:eastAsia="仿宋_GB2312" w:cs="仿宋_GB2312"/>
          <w:b w:val="0"/>
          <w:bCs w:val="0"/>
          <w:color w:val="auto"/>
          <w:kern w:val="0"/>
          <w:sz w:val="32"/>
          <w:szCs w:val="32"/>
          <w:u w:val="none" w:color="auto"/>
          <w:lang w:val="en-US" w:eastAsia="zh-CN"/>
        </w:rPr>
        <w:t>186.05万元</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八、财政拨款“三公”经费支出决算情况说明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（一）财政拨款“三公”经费支出总体情况说明。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内蒙古赤峰高新技术产业开发区管理委员会 2024年度财政拨款“三公”经费全年预算 13.00万元，支出决算 12.98万元，完成预算的 99.88%。其中：因公出国（境）费全年预算 0万元，支出决算 0万元，完成预算的 0%；公务用车购置及运行维护费全年预算 5.00万元，支出决算 5.00万元，完成预算的 100.00%；公务接待费全年预算 8.00万元，支出决算 7.98万元，完成预算的 99.80%。2024年度一般公共预算财政拨款“三公”经费全年预算 13.00万元，支出决算 12.98万元，与预算差异原因</w:t>
      </w:r>
      <w:r>
        <w:rPr>
          <w:rFonts w:hint="eastAsia" w:ascii="仿宋_GB2312" w:hAnsi="仿宋_GB2312" w:eastAsia="仿宋_GB2312" w:cs="仿宋_GB2312"/>
          <w:b w:val="0"/>
          <w:bCs w:val="0"/>
          <w:color w:val="auto"/>
          <w:kern w:val="0"/>
          <w:sz w:val="32"/>
          <w:szCs w:val="32"/>
          <w:u w:val="none" w:color="auto"/>
          <w:lang w:eastAsia="zh-CN"/>
        </w:rPr>
        <w:t>是：严格执行中央八项规定精神，厉行节约、压减非必要支出，同时优化公务活动安排，减少不必要的公务接待、用车开支</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（二）财政拨款“三公”经费支出具体情况说明。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内蒙古赤峰高新技术产业开发区管理委员会 2024年度财政拨款“三公”经费支出 12.98万元。因公出国（境）费支出 0万元，占 0%；公务用车购置及运行维护费支出 5.00万元，占 38.51%；公务接待费支出 7.98万元，占 61.49%。其中：</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 1.因公出国（境）费支出 0万元，全年出国（境）团组0 个，累计0 人次。与上年决算相比，增加 0万元，增长 0%，变动原因：</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不存在此项内容</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2.公务用车购置及运行维护费支出 5.00万元。其中：</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（1）公务用车购置支出 0万元。本年度使用财政拨款购置公务用车0 辆，开支内容：</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不存在此项内容</w:t>
      </w:r>
      <w:r>
        <w:rPr>
          <w:rFonts w:hint="eastAsia" w:ascii="仿宋_GB2312" w:hAnsi="仿宋_GB2312" w:eastAsia="仿宋_GB2312" w:cs="仿宋_GB2312"/>
          <w:b w:val="0"/>
          <w:bCs w:val="0"/>
          <w:color w:val="auto"/>
          <w:kern w:val="0"/>
          <w:sz w:val="32"/>
          <w:szCs w:val="32"/>
          <w:u w:val="none" w:color="auto"/>
        </w:rPr>
        <w:t>。与上年决算相比，增加 0万元，增长 0%，变动原因：</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不存在此项内容</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（2）公务用车运行维护费支出 5.00万元。公务用车运行维护费主要用于按规定保留的公务用车的燃料费、维修费、过桥过路费、保险费、安全奖励费用等支出。截至2024年12月31日，使用财政拨款开支的公务用车保有量为1 辆。与上年决算相比，增加 5.00万元，变动原因：</w:t>
      </w:r>
      <w:r>
        <w:rPr>
          <w:rFonts w:hint="eastAsia" w:ascii="仿宋_GB2312" w:hAnsi="仿宋_GB2312" w:eastAsia="仿宋_GB2312" w:cs="仿宋_GB2312"/>
          <w:b w:val="0"/>
          <w:bCs w:val="0"/>
          <w:color w:val="auto"/>
          <w:kern w:val="0"/>
          <w:sz w:val="32"/>
          <w:szCs w:val="32"/>
          <w:u w:val="none" w:color="auto"/>
          <w:lang w:val="en-US" w:eastAsia="zh-CN"/>
        </w:rPr>
        <w:t>2022年新购置的公务用车因业务调整等原因在2023年未投入使用，而2024年恢复使用后按规定产生相关支出</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3.公务接待费支出 7.98万元。其中：国内公务接待支出 7.98万元，接待55 批次，680 人次，开支内容：</w:t>
      </w:r>
      <w:r>
        <w:rPr>
          <w:rFonts w:hint="eastAsia" w:ascii="Times New Roman" w:hAnsi="Times New Roman" w:eastAsia="仿宋_GB2312" w:cs="Times New Roman"/>
          <w:b w:val="0"/>
          <w:bCs w:val="0"/>
          <w:color w:val="auto"/>
          <w:kern w:val="2"/>
          <w:sz w:val="32"/>
          <w:szCs w:val="32"/>
          <w:highlight w:val="none"/>
          <w:u w:val="none" w:color="auto"/>
          <w:lang w:val="en-US" w:eastAsia="zh-CN" w:bidi="ar-SA"/>
        </w:rPr>
        <w:t>接待各方关于项目建设、投产、投资等事宜产生的开支</w:t>
      </w:r>
      <w:r>
        <w:rPr>
          <w:rFonts w:hint="eastAsia" w:ascii="仿宋_GB2312" w:hAnsi="仿宋_GB2312" w:eastAsia="仿宋_GB2312" w:cs="仿宋_GB2312"/>
          <w:b w:val="0"/>
          <w:bCs w:val="0"/>
          <w:color w:val="auto"/>
          <w:kern w:val="0"/>
          <w:sz w:val="32"/>
          <w:szCs w:val="32"/>
          <w:u w:val="none" w:color="auto"/>
        </w:rPr>
        <w:t>；国（境）外公务接待支出 0万元，接待0 批次，0 人次，开支内容：</w:t>
      </w:r>
      <w:r>
        <w:rPr>
          <w:rFonts w:hint="eastAsia" w:ascii="仿宋_GB2312" w:hAnsi="仿宋_GB2312" w:eastAsia="仿宋_GB2312" w:cs="仿宋_GB2312"/>
          <w:b w:val="0"/>
          <w:bCs w:val="0"/>
          <w:color w:val="auto"/>
          <w:kern w:val="0"/>
          <w:sz w:val="32"/>
          <w:szCs w:val="32"/>
          <w:u w:val="none" w:color="auto"/>
          <w:lang w:eastAsia="zh-CN"/>
        </w:rPr>
        <w:t>无此项内容</w:t>
      </w:r>
      <w:r>
        <w:rPr>
          <w:rFonts w:hint="eastAsia" w:ascii="仿宋_GB2312" w:hAnsi="仿宋_GB2312" w:eastAsia="仿宋_GB2312" w:cs="仿宋_GB2312"/>
          <w:b w:val="0"/>
          <w:bCs w:val="0"/>
          <w:color w:val="auto"/>
          <w:kern w:val="0"/>
          <w:sz w:val="32"/>
          <w:szCs w:val="32"/>
          <w:u w:val="none" w:color="auto"/>
        </w:rPr>
        <w:t>。与上年决算相比，减少3.95万元，下降33.11%，变动原因：严格执行中央八项规定精神，厉行节约、压减非必要支出，同时优化公务活动安排，减少不必要的公务接待</w:t>
      </w:r>
      <w:r>
        <w:rPr>
          <w:rFonts w:hint="eastAsia" w:ascii="仿宋_GB2312" w:hAnsi="仿宋_GB2312" w:eastAsia="仿宋_GB2312" w:cs="仿宋_GB2312"/>
          <w:b w:val="0"/>
          <w:bCs w:val="0"/>
          <w:color w:val="auto"/>
          <w:kern w:val="0"/>
          <w:sz w:val="32"/>
          <w:szCs w:val="32"/>
          <w:u w:val="none" w:color="auto"/>
          <w:lang w:eastAsia="zh-CN"/>
        </w:rPr>
        <w:t>支出</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b w:val="0"/>
          <w:bCs w:val="0"/>
          <w:color w:val="auto"/>
          <w:kern w:val="0"/>
          <w:sz w:val="32"/>
          <w:szCs w:val="32"/>
          <w:u w:val="none" w:color="auto"/>
        </w:rPr>
        <w:t>内蒙古赤峰高新技术产业开发区管理委员会 2024年度政府性基金预算财政拨款支出决算 13963.97万元。与上年决算相比，增加4285.51万元，增长 44.28%，变动原因：</w:t>
      </w:r>
      <w:r>
        <w:rPr>
          <w:rFonts w:hint="eastAsia" w:ascii="仿宋_GB2312" w:hAnsi="仿宋_GB2312" w:eastAsia="仿宋_GB2312" w:cs="仿宋_GB2312"/>
          <w:b w:val="0"/>
          <w:bCs w:val="0"/>
          <w:color w:val="auto"/>
          <w:kern w:val="0"/>
          <w:sz w:val="32"/>
          <w:szCs w:val="32"/>
          <w:u w:val="none" w:color="auto"/>
          <w:lang w:eastAsia="zh-CN"/>
        </w:rPr>
        <w:t>本年度新增政府性基金项目，如：绿色甲醇制造基地建设、铝基新材料标准化</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eastAsia="zh-CN"/>
        </w:rPr>
        <w:t>厂房一期建设、有色金属高端新材料产业园建设及铁南大街东通工程等项目建设用地费用</w:t>
      </w:r>
      <w:r>
        <w:rPr>
          <w:rFonts w:hint="eastAsia" w:ascii="仿宋_GB2312" w:hAnsi="仿宋_GB2312" w:eastAsia="仿宋_GB2312" w:cs="仿宋_GB2312"/>
          <w:color w:val="auto"/>
          <w:sz w:val="32"/>
          <w:szCs w:val="32"/>
          <w:u w:val="none" w:color="auto"/>
        </w:rPr>
        <w:t>。其中：</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乡社区支出（类）国有土地使用权出让收入安排的支出（款）其他国有土地使用权出让收入安排的支出（项）支出13963.97万元，主要用于高新区征拆资金、赤峰高新区东山产业园入驻企业“七通一平”及相关服务项目等方面支出。</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内蒙古赤峰高新技术产业开发区管理委员会 2024年度国有资本经营预算财政拨款支出决算 0万元。与上年决算相比，增加 0万元，增长 0%，变动原因：本年无国有资本经营预算财政拨款收、支、余。</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十一、机关运行经费（公用经费）支出决算情况说明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内蒙古赤峰高新技术产业开发区管理委员会 2024年度公用经费支出决算 38.53万元，与上年决算相比，减少 207.97万元，下降84.37%，变动原因：</w:t>
      </w:r>
      <w:r>
        <w:rPr>
          <w:rFonts w:hint="eastAsia" w:ascii="仿宋_GB2312" w:hAnsi="仿宋_GB2312" w:eastAsia="仿宋_GB2312" w:cs="仿宋_GB2312"/>
          <w:b w:val="0"/>
          <w:bCs w:val="0"/>
          <w:color w:val="auto"/>
          <w:kern w:val="0"/>
          <w:sz w:val="32"/>
          <w:szCs w:val="32"/>
          <w:u w:val="none" w:color="auto"/>
          <w:lang w:eastAsia="zh-CN"/>
        </w:rPr>
        <w:t>由于支出功能分类科目使用错误，</w:t>
      </w:r>
      <w:r>
        <w:rPr>
          <w:rFonts w:hint="eastAsia" w:ascii="仿宋_GB2312" w:hAnsi="仿宋_GB2312" w:eastAsia="仿宋_GB2312" w:cs="仿宋_GB2312"/>
          <w:b w:val="0"/>
          <w:bCs w:val="0"/>
          <w:color w:val="auto"/>
          <w:kern w:val="0"/>
          <w:sz w:val="32"/>
          <w:szCs w:val="32"/>
          <w:u w:val="none" w:color="auto"/>
        </w:rPr>
        <w:t>本年度非测算类基本支出</w:t>
      </w:r>
      <w:r>
        <w:rPr>
          <w:rFonts w:hint="eastAsia" w:ascii="仿宋_GB2312" w:hAnsi="仿宋_GB2312" w:eastAsia="仿宋_GB2312" w:cs="仿宋_GB2312"/>
          <w:b w:val="0"/>
          <w:bCs w:val="0"/>
          <w:color w:val="auto"/>
          <w:kern w:val="0"/>
          <w:sz w:val="32"/>
          <w:szCs w:val="32"/>
          <w:u w:val="none" w:color="auto"/>
          <w:lang w:eastAsia="zh-CN"/>
        </w:rPr>
        <w:t>、非测算类租赁费均</w:t>
      </w:r>
      <w:r>
        <w:rPr>
          <w:rFonts w:hint="eastAsia" w:ascii="仿宋_GB2312" w:hAnsi="仿宋_GB2312" w:eastAsia="仿宋_GB2312" w:cs="仿宋_GB2312"/>
          <w:b w:val="0"/>
          <w:bCs w:val="0"/>
          <w:color w:val="auto"/>
          <w:kern w:val="0"/>
          <w:sz w:val="32"/>
          <w:szCs w:val="32"/>
          <w:u w:val="none" w:color="auto"/>
        </w:rPr>
        <w:t>列入项目</w:t>
      </w:r>
      <w:r>
        <w:rPr>
          <w:rFonts w:hint="eastAsia" w:ascii="仿宋_GB2312" w:hAnsi="仿宋_GB2312" w:eastAsia="仿宋_GB2312" w:cs="仿宋_GB2312"/>
          <w:b w:val="0"/>
          <w:bCs w:val="0"/>
          <w:color w:val="auto"/>
          <w:kern w:val="0"/>
          <w:sz w:val="32"/>
          <w:szCs w:val="32"/>
          <w:u w:val="none" w:color="auto"/>
          <w:lang w:eastAsia="zh-CN"/>
        </w:rPr>
        <w:t>支出</w:t>
      </w:r>
      <w:r>
        <w:rPr>
          <w:rFonts w:hint="eastAsia" w:ascii="仿宋_GB2312" w:hAnsi="仿宋_GB2312" w:eastAsia="仿宋_GB2312" w:cs="仿宋_GB2312"/>
          <w:b w:val="0"/>
          <w:bCs w:val="0"/>
          <w:color w:val="auto"/>
          <w:kern w:val="0"/>
          <w:sz w:val="32"/>
          <w:szCs w:val="32"/>
          <w:u w:val="none" w:color="auto"/>
        </w:rPr>
        <w:t>核算</w:t>
      </w:r>
      <w:r>
        <w:rPr>
          <w:rFonts w:hint="eastAsia" w:ascii="仿宋_GB2312" w:hAnsi="仿宋_GB2312" w:eastAsia="仿宋_GB2312" w:cs="仿宋_GB2312"/>
          <w:b w:val="0"/>
          <w:bCs w:val="0"/>
          <w:color w:val="auto"/>
          <w:kern w:val="0"/>
          <w:sz w:val="32"/>
          <w:szCs w:val="32"/>
          <w:u w:val="none" w:color="auto"/>
          <w:lang w:eastAsia="zh-CN"/>
        </w:rPr>
        <w:t>，故导致基本支出内公用经费较上年减少</w:t>
      </w:r>
      <w:r>
        <w:rPr>
          <w:rFonts w:hint="eastAsia" w:ascii="仿宋_GB2312" w:hAnsi="仿宋_GB2312" w:eastAsia="仿宋_GB2312" w:cs="仿宋_GB2312"/>
          <w:b w:val="0"/>
          <w:bCs w:val="0"/>
          <w:color w:val="auto"/>
          <w:kern w:val="0"/>
          <w:sz w:val="32"/>
          <w:szCs w:val="32"/>
          <w:u w:val="none" w:color="auto"/>
        </w:rPr>
        <w:t>。其中，机关运行经费支出决算 38.53万元。比上年决算相比，减少 207.97万元，下降84.37%，变动原因：</w:t>
      </w:r>
      <w:r>
        <w:rPr>
          <w:rFonts w:hint="eastAsia" w:ascii="仿宋_GB2312" w:hAnsi="仿宋_GB2312" w:eastAsia="仿宋_GB2312" w:cs="仿宋_GB2312"/>
          <w:b w:val="0"/>
          <w:bCs w:val="0"/>
          <w:color w:val="auto"/>
          <w:kern w:val="0"/>
          <w:sz w:val="32"/>
          <w:szCs w:val="32"/>
          <w:u w:val="none" w:color="auto"/>
          <w:lang w:eastAsia="zh-CN"/>
        </w:rPr>
        <w:t>由于支出功能分类科目使用错误，</w:t>
      </w:r>
      <w:r>
        <w:rPr>
          <w:rFonts w:hint="eastAsia" w:ascii="仿宋_GB2312" w:hAnsi="仿宋_GB2312" w:eastAsia="仿宋_GB2312" w:cs="仿宋_GB2312"/>
          <w:b w:val="0"/>
          <w:bCs w:val="0"/>
          <w:color w:val="auto"/>
          <w:kern w:val="0"/>
          <w:sz w:val="32"/>
          <w:szCs w:val="32"/>
          <w:u w:val="none" w:color="auto"/>
        </w:rPr>
        <w:t>本年度非测算类基本支出</w:t>
      </w:r>
      <w:r>
        <w:rPr>
          <w:rFonts w:hint="eastAsia" w:ascii="仿宋_GB2312" w:hAnsi="仿宋_GB2312" w:eastAsia="仿宋_GB2312" w:cs="仿宋_GB2312"/>
          <w:b w:val="0"/>
          <w:bCs w:val="0"/>
          <w:color w:val="auto"/>
          <w:kern w:val="0"/>
          <w:sz w:val="32"/>
          <w:szCs w:val="32"/>
          <w:u w:val="none" w:color="auto"/>
          <w:lang w:eastAsia="zh-CN"/>
        </w:rPr>
        <w:t>、非测算类租赁费均</w:t>
      </w:r>
      <w:r>
        <w:rPr>
          <w:rFonts w:hint="eastAsia" w:ascii="仿宋_GB2312" w:hAnsi="仿宋_GB2312" w:eastAsia="仿宋_GB2312" w:cs="仿宋_GB2312"/>
          <w:b w:val="0"/>
          <w:bCs w:val="0"/>
          <w:color w:val="auto"/>
          <w:kern w:val="0"/>
          <w:sz w:val="32"/>
          <w:szCs w:val="32"/>
          <w:u w:val="none" w:color="auto"/>
        </w:rPr>
        <w:t>列入项目</w:t>
      </w:r>
      <w:r>
        <w:rPr>
          <w:rFonts w:hint="eastAsia" w:ascii="仿宋_GB2312" w:hAnsi="仿宋_GB2312" w:eastAsia="仿宋_GB2312" w:cs="仿宋_GB2312"/>
          <w:b w:val="0"/>
          <w:bCs w:val="0"/>
          <w:color w:val="auto"/>
          <w:kern w:val="0"/>
          <w:sz w:val="32"/>
          <w:szCs w:val="32"/>
          <w:u w:val="none" w:color="auto"/>
          <w:lang w:eastAsia="zh-CN"/>
        </w:rPr>
        <w:t>支出</w:t>
      </w:r>
      <w:r>
        <w:rPr>
          <w:rFonts w:hint="eastAsia" w:ascii="仿宋_GB2312" w:hAnsi="仿宋_GB2312" w:eastAsia="仿宋_GB2312" w:cs="仿宋_GB2312"/>
          <w:b w:val="0"/>
          <w:bCs w:val="0"/>
          <w:color w:val="auto"/>
          <w:kern w:val="0"/>
          <w:sz w:val="32"/>
          <w:szCs w:val="32"/>
          <w:u w:val="none" w:color="auto"/>
        </w:rPr>
        <w:t>核算</w:t>
      </w:r>
      <w:r>
        <w:rPr>
          <w:rFonts w:hint="eastAsia" w:ascii="仿宋_GB2312" w:hAnsi="仿宋_GB2312" w:eastAsia="仿宋_GB2312" w:cs="仿宋_GB2312"/>
          <w:b w:val="0"/>
          <w:bCs w:val="0"/>
          <w:color w:val="auto"/>
          <w:kern w:val="0"/>
          <w:sz w:val="32"/>
          <w:szCs w:val="32"/>
          <w:u w:val="none" w:color="auto"/>
          <w:lang w:eastAsia="zh-CN"/>
        </w:rPr>
        <w:t>，故导致基本支出内机关运行经费较上年减少</w:t>
      </w:r>
      <w:r>
        <w:rPr>
          <w:rFonts w:hint="eastAsia" w:ascii="仿宋_GB2312" w:hAnsi="仿宋_GB2312" w:eastAsia="仿宋_GB2312" w:cs="仿宋_GB2312"/>
          <w:b w:val="0"/>
          <w:bCs w:val="0"/>
          <w:color w:val="auto"/>
          <w:kern w:val="0"/>
          <w:sz w:val="32"/>
          <w:szCs w:val="32"/>
          <w:u w:val="none" w:color="auto"/>
        </w:rPr>
        <w:t>。</w:t>
      </w:r>
    </w:p>
    <w:p>
      <w:pPr>
        <w:keepNext w:val="0"/>
        <w:keepLines w:val="0"/>
        <w:pageBreakBefore w:val="0"/>
        <w:widowControl/>
        <w:numPr>
          <w:ilvl w:val="0"/>
          <w:numId w:val="5"/>
        </w:numPr>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政府采购支出决算情况说明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rPr>
        <w:t>内蒙古赤峰高新技术产业开发区管理委员会 2024年度政府采购支出总额 316.23万元，其中：政府采购货物支出 67.85万元、政府采购工程支出 0万元、政府采购服务支出 248.37万元。政府采购授予中小企业合同金额 148.33万元，占政府采购支出总额的46.91%，其中：授予小微企业合同金额  137.05万元，占政府采购支出总额的43.34%；货物采购授予中小企业合同金额占货物支出金额的0%，工程采购授予中小企业合同金额占工程支出金额的0%，服务采购授予中小企业合同金额占服务支出金额的0%。</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十三、国有资产占用情况说明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内蒙古赤峰高新技术产业开发区管理委员会 截至2024年12月31日，本部门（单位）共有车辆 1辆，其中：副部（省）级及以上领导用车0 辆、主要负责人用车 0辆、机要通信用车 0辆、应急保障用车 0辆、执法执勤用车 0辆、特种专业技术用车 0辆、离退休干部服务用车 0辆，其他用车 1辆；单价100万元（含）以上的设备（不含车辆） 1台（套）。</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黑体" w:hAnsi="黑体" w:eastAsia="黑体" w:cs="黑体"/>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十四、预算绩效情况说明</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color w:val="auto"/>
          <w:u w:val="none" w:color="auto"/>
          <w:lang w:val="en-US" w:eastAsia="zh-CN"/>
        </w:rPr>
      </w:pPr>
      <w:r>
        <w:rPr>
          <w:rFonts w:hint="eastAsia" w:ascii="楷体_GB2312" w:hAnsi="楷体_GB2312" w:eastAsia="楷体_GB2312" w:cs="楷体_GB2312"/>
          <w:b w:val="0"/>
          <w:bCs w:val="0"/>
          <w:color w:val="auto"/>
          <w:kern w:val="0"/>
          <w:sz w:val="32"/>
          <w:szCs w:val="32"/>
          <w:u w:val="none" w:color="auto"/>
        </w:rPr>
        <w:t>（一）预算绩效管理工作开展情况。</w:t>
      </w:r>
      <w:r>
        <w:rPr>
          <w:rFonts w:hint="eastAsia"/>
          <w:color w:val="auto"/>
          <w:u w:val="none" w:color="auto"/>
          <w:lang w:val="en-US" w:eastAsia="zh-CN"/>
        </w:rPr>
        <w:tab/>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内蒙古赤峰高新技术产业开发区管理委员会根据预算绩效管理要求组织对2024年一般公共预算项目支出全面开展绩效自评，共37个项目，共涉及资金43982.33万元，占一般公共预算项目支出总额的100%；政府性基金预算项目10个，共涉及资金82717万元，占应纳入绩效自评的政府性基金预算项目支出总额的100%。</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组织对“</w:t>
      </w:r>
      <w:r>
        <w:rPr>
          <w:rFonts w:hint="eastAsia" w:ascii="仿宋_GB2312" w:hAnsi="仿宋_GB2312" w:eastAsia="仿宋_GB2312" w:cs="仿宋_GB2312"/>
          <w:color w:val="auto"/>
          <w:kern w:val="2"/>
          <w:sz w:val="32"/>
          <w:szCs w:val="32"/>
          <w:u w:val="none" w:color="auto"/>
          <w:lang w:val="en-US" w:eastAsia="zh-CN" w:bidi="ar-SA"/>
        </w:rPr>
        <w:t>引进人才专项补贴资金项目</w:t>
      </w:r>
      <w:r>
        <w:rPr>
          <w:rFonts w:hint="eastAsia" w:ascii="仿宋_GB2312" w:hAnsi="仿宋_GB2312" w:eastAsia="仿宋_GB2312" w:cs="仿宋_GB2312"/>
          <w:color w:val="auto"/>
          <w:kern w:val="0"/>
          <w:sz w:val="32"/>
          <w:szCs w:val="32"/>
          <w:u w:val="none" w:color="auto"/>
        </w:rPr>
        <w:t>”、“</w:t>
      </w:r>
      <w:r>
        <w:rPr>
          <w:rFonts w:hint="eastAsia" w:ascii="仿宋_GB2312" w:hAnsi="仿宋_GB2312" w:eastAsia="仿宋_GB2312" w:cs="仿宋_GB2312"/>
          <w:b w:val="0"/>
          <w:bCs w:val="0"/>
          <w:color w:val="auto"/>
          <w:kern w:val="0"/>
          <w:sz w:val="32"/>
          <w:szCs w:val="32"/>
          <w:u w:val="none" w:color="auto"/>
        </w:rPr>
        <w:t>2023年度信创资金项目</w:t>
      </w:r>
      <w:r>
        <w:rPr>
          <w:rFonts w:hint="eastAsia" w:ascii="仿宋_GB2312" w:hAnsi="仿宋_GB2312" w:eastAsia="仿宋_GB2312" w:cs="仿宋_GB2312"/>
          <w:color w:val="auto"/>
          <w:kern w:val="0"/>
          <w:sz w:val="32"/>
          <w:szCs w:val="32"/>
          <w:u w:val="none" w:color="auto"/>
        </w:rPr>
        <w:t>”、“</w:t>
      </w:r>
      <w:r>
        <w:rPr>
          <w:rFonts w:hint="eastAsia" w:ascii="仿宋_GB2312" w:hAnsi="仿宋_GB2312" w:eastAsia="仿宋_GB2312" w:cs="仿宋_GB2312"/>
          <w:color w:val="auto"/>
          <w:sz w:val="32"/>
          <w:szCs w:val="32"/>
          <w:u w:val="none" w:color="auto"/>
        </w:rPr>
        <w:t>2024年自治区财政一般公共预算资金用于公路建设支出项目</w:t>
      </w:r>
      <w:r>
        <w:rPr>
          <w:rFonts w:hint="eastAsia" w:ascii="仿宋_GB2312" w:hAnsi="仿宋_GB2312" w:eastAsia="仿宋_GB2312" w:cs="仿宋_GB2312"/>
          <w:color w:val="auto"/>
          <w:kern w:val="0"/>
          <w:sz w:val="32"/>
          <w:szCs w:val="32"/>
          <w:u w:val="none" w:color="auto"/>
        </w:rPr>
        <w:t>”等 </w:t>
      </w:r>
      <w:r>
        <w:rPr>
          <w:rFonts w:hint="eastAsia" w:ascii="仿宋_GB2312" w:hAnsi="仿宋_GB2312" w:eastAsia="仿宋_GB2312" w:cs="仿宋_GB2312"/>
          <w:color w:val="auto"/>
          <w:kern w:val="0"/>
          <w:sz w:val="32"/>
          <w:szCs w:val="32"/>
          <w:u w:val="none" w:color="auto"/>
          <w:lang w:val="en-US" w:eastAsia="zh-CN"/>
        </w:rPr>
        <w:t>47</w:t>
      </w:r>
      <w:r>
        <w:rPr>
          <w:rFonts w:hint="eastAsia" w:ascii="仿宋_GB2312" w:hAnsi="仿宋_GB2312" w:eastAsia="仿宋_GB2312" w:cs="仿宋_GB2312"/>
          <w:color w:val="auto"/>
          <w:kern w:val="0"/>
          <w:sz w:val="32"/>
          <w:szCs w:val="32"/>
          <w:u w:val="none" w:color="auto"/>
        </w:rPr>
        <w:t> 个项目开展了部门评价，涉及一般公共预算支出43982.33万元，政府性基金支出82717万元。从评价情况看，我委对部门整体经费进行绩效自评，对资金产生及其效益进行</w:t>
      </w:r>
      <w:r>
        <w:rPr>
          <w:rFonts w:hint="eastAsia" w:ascii="仿宋_GB2312" w:hAnsi="仿宋_GB2312" w:eastAsia="仿宋_GB2312" w:cs="仿宋_GB2312"/>
          <w:color w:val="auto"/>
          <w:kern w:val="0"/>
          <w:sz w:val="32"/>
          <w:szCs w:val="32"/>
          <w:u w:val="none" w:color="auto"/>
          <w:lang w:eastAsia="zh-CN"/>
        </w:rPr>
        <w:t>了</w:t>
      </w:r>
      <w:r>
        <w:rPr>
          <w:rFonts w:hint="eastAsia" w:ascii="仿宋_GB2312" w:hAnsi="仿宋_GB2312" w:eastAsia="仿宋_GB2312" w:cs="仿宋_GB2312"/>
          <w:color w:val="auto"/>
          <w:kern w:val="0"/>
          <w:sz w:val="32"/>
          <w:szCs w:val="32"/>
          <w:u w:val="none" w:color="auto"/>
        </w:rPr>
        <w:t>综合评价和判断。客观公正的揭示财政资金的使用效益，完成公共预算体系，强化</w:t>
      </w:r>
      <w:r>
        <w:rPr>
          <w:rFonts w:hint="eastAsia" w:ascii="仿宋_GB2312" w:hAnsi="仿宋_GB2312" w:eastAsia="仿宋_GB2312" w:cs="仿宋_GB2312"/>
          <w:color w:val="auto"/>
          <w:kern w:val="0"/>
          <w:sz w:val="32"/>
          <w:szCs w:val="32"/>
          <w:u w:val="none" w:color="auto"/>
          <w:lang w:eastAsia="zh-CN"/>
        </w:rPr>
        <w:t>了</w:t>
      </w:r>
      <w:r>
        <w:rPr>
          <w:rFonts w:hint="eastAsia" w:ascii="仿宋_GB2312" w:hAnsi="仿宋_GB2312" w:eastAsia="仿宋_GB2312" w:cs="仿宋_GB2312"/>
          <w:color w:val="auto"/>
          <w:kern w:val="0"/>
          <w:sz w:val="32"/>
          <w:szCs w:val="32"/>
          <w:u w:val="none" w:color="auto"/>
        </w:rPr>
        <w:t>预算支出的责任和效率。</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（二）部门决算中项目绩效自评结果。</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color w:val="auto"/>
          <w:u w:val="none" w:color="auto"/>
        </w:rPr>
      </w:pPr>
      <w:r>
        <w:rPr>
          <w:rFonts w:hint="eastAsia" w:ascii="仿宋_GB2312" w:hAnsi="仿宋_GB2312" w:eastAsia="仿宋_GB2312" w:cs="仿宋_GB2312"/>
          <w:b w:val="0"/>
          <w:bCs w:val="0"/>
          <w:color w:val="auto"/>
          <w:kern w:val="0"/>
          <w:sz w:val="32"/>
          <w:szCs w:val="32"/>
          <w:u w:val="none" w:color="auto"/>
        </w:rPr>
        <w:t>内蒙古赤峰高新技术产业开发区管理委员会 2024年度在决算中反映</w:t>
      </w:r>
      <w:r>
        <w:rPr>
          <w:rFonts w:hint="eastAsia" w:ascii="仿宋_GB2312" w:hAnsi="仿宋_GB2312" w:eastAsia="仿宋_GB2312" w:cs="仿宋_GB2312"/>
          <w:b w:val="0"/>
          <w:bCs w:val="0"/>
          <w:color w:val="auto"/>
          <w:kern w:val="0"/>
          <w:sz w:val="32"/>
          <w:szCs w:val="32"/>
          <w:u w:val="none" w:color="auto"/>
          <w:lang w:val="en-US" w:eastAsia="zh-CN"/>
        </w:rPr>
        <w:t>25</w:t>
      </w:r>
      <w:r>
        <w:rPr>
          <w:rFonts w:hint="eastAsia" w:ascii="仿宋_GB2312" w:hAnsi="仿宋_GB2312" w:eastAsia="仿宋_GB2312" w:cs="仿宋_GB2312"/>
          <w:b w:val="0"/>
          <w:bCs w:val="0"/>
          <w:color w:val="auto"/>
          <w:kern w:val="0"/>
          <w:sz w:val="32"/>
          <w:szCs w:val="32"/>
          <w:u w:val="none" w:color="auto"/>
        </w:rPr>
        <w:t>个一般公共预算项目，以及</w:t>
      </w:r>
      <w:r>
        <w:rPr>
          <w:rFonts w:hint="eastAsia" w:ascii="仿宋_GB2312" w:hAnsi="仿宋_GB2312" w:eastAsia="仿宋_GB2312" w:cs="仿宋_GB2312"/>
          <w:b w:val="0"/>
          <w:bCs w:val="0"/>
          <w:color w:val="auto"/>
          <w:kern w:val="0"/>
          <w:sz w:val="32"/>
          <w:szCs w:val="32"/>
          <w:u w:val="none" w:color="auto"/>
          <w:lang w:val="en-US" w:eastAsia="zh-CN"/>
        </w:rPr>
        <w:t>1</w:t>
      </w:r>
      <w:r>
        <w:rPr>
          <w:rFonts w:hint="eastAsia" w:ascii="仿宋_GB2312" w:hAnsi="仿宋_GB2312" w:eastAsia="仿宋_GB2312" w:cs="仿宋_GB2312"/>
          <w:b w:val="0"/>
          <w:bCs w:val="0"/>
          <w:color w:val="auto"/>
          <w:kern w:val="0"/>
          <w:sz w:val="32"/>
          <w:szCs w:val="32"/>
          <w:u w:val="none" w:color="auto"/>
        </w:rPr>
        <w:t>个政府性基金项目， 共</w:t>
      </w:r>
      <w:r>
        <w:rPr>
          <w:rFonts w:hint="eastAsia" w:ascii="仿宋_GB2312" w:hAnsi="仿宋_GB2312" w:eastAsia="仿宋_GB2312" w:cs="仿宋_GB2312"/>
          <w:b w:val="0"/>
          <w:bCs w:val="0"/>
          <w:color w:val="auto"/>
          <w:kern w:val="0"/>
          <w:sz w:val="32"/>
          <w:szCs w:val="32"/>
          <w:u w:val="none" w:color="auto"/>
          <w:lang w:val="en-US" w:eastAsia="zh-CN"/>
        </w:rPr>
        <w:t>26</w:t>
      </w:r>
      <w:r>
        <w:rPr>
          <w:rFonts w:hint="eastAsia" w:ascii="仿宋_GB2312" w:hAnsi="仿宋_GB2312" w:eastAsia="仿宋_GB2312" w:cs="仿宋_GB2312"/>
          <w:b w:val="0"/>
          <w:bCs w:val="0"/>
          <w:color w:val="auto"/>
          <w:kern w:val="0"/>
          <w:sz w:val="32"/>
          <w:szCs w:val="32"/>
          <w:u w:val="none" w:color="auto"/>
        </w:rPr>
        <w:t>个项目的绩效自评结果。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1.引进人才专项补贴资金项目自评综述：根据年初设定的绩效目标，项目自评得分92.4分。全年预算数为2万元，执行数为2万元，完成预算的100%。项目绩效目标完成情况：截至2024年底，该项目资金支出2万元，已经完成引进人才专项补贴申请人员数量2人，引进人才专项补贴发放人员数量2人，引进人才补贴资金拨付率及引进人才补贴资金发放率及时，引进人才专项补贴发放及时。通过该项目实施，实现了汇聚更多青年人才优化我市人才队伍建设，吸引更多人才留赤工作。为地方经济社会发展提供更强有利的人才支撑。发现的主要问题及原因：截止2024年底除加强人才引进力度、汇聚更多青年人才优化我市人才队伍建设、吸引更多人才留赤工作略有差异。下一步改进措施：下一步将重点引进高层次人才和紧缺人才。完善人才服务体系，为引进人才提供提供科研启动经费、住房补贴等支出、并定期评估人才贡献。将加大政策宣传力度，通过官网、媒体等多种渠道宣传人才引进政策，吸引更多优秀人才。同时，建立政策执行反馈机制，及时收集意见和建议，确保政策落实到位。</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2.2023年度信创资金项目自评综述：根据年初设定的绩效目标，项目自评得分</w:t>
      </w:r>
      <w:r>
        <w:rPr>
          <w:rFonts w:hint="eastAsia" w:ascii="仿宋_GB2312" w:hAnsi="仿宋_GB2312" w:eastAsia="仿宋_GB2312" w:cs="仿宋_GB2312"/>
          <w:b w:val="0"/>
          <w:bCs w:val="0"/>
          <w:color w:val="auto"/>
          <w:kern w:val="0"/>
          <w:sz w:val="32"/>
          <w:szCs w:val="32"/>
          <w:u w:val="none" w:color="auto"/>
          <w:lang w:val="en-US" w:eastAsia="zh-CN"/>
        </w:rPr>
        <w:t>89.08</w:t>
      </w:r>
      <w:r>
        <w:rPr>
          <w:rFonts w:hint="eastAsia" w:ascii="仿宋_GB2312" w:hAnsi="仿宋_GB2312" w:eastAsia="仿宋_GB2312" w:cs="仿宋_GB2312"/>
          <w:b w:val="0"/>
          <w:bCs w:val="0"/>
          <w:color w:val="auto"/>
          <w:kern w:val="0"/>
          <w:sz w:val="32"/>
          <w:szCs w:val="32"/>
          <w:u w:val="none" w:color="auto"/>
        </w:rPr>
        <w:t>分。全年预算数为5.22万元，执行数为</w:t>
      </w:r>
      <w:r>
        <w:rPr>
          <w:rFonts w:hint="eastAsia" w:ascii="仿宋_GB2312" w:hAnsi="仿宋_GB2312" w:eastAsia="仿宋_GB2312" w:cs="仿宋_GB2312"/>
          <w:b w:val="0"/>
          <w:bCs w:val="0"/>
          <w:color w:val="auto"/>
          <w:kern w:val="0"/>
          <w:sz w:val="32"/>
          <w:szCs w:val="32"/>
          <w:u w:val="none" w:color="auto"/>
          <w:lang w:val="en-US" w:eastAsia="zh-CN"/>
        </w:rPr>
        <w:t>4.74</w:t>
      </w:r>
      <w:r>
        <w:rPr>
          <w:rFonts w:hint="eastAsia" w:ascii="仿宋_GB2312" w:hAnsi="仿宋_GB2312" w:eastAsia="仿宋_GB2312" w:cs="仿宋_GB2312"/>
          <w:b w:val="0"/>
          <w:bCs w:val="0"/>
          <w:color w:val="auto"/>
          <w:kern w:val="0"/>
          <w:sz w:val="32"/>
          <w:szCs w:val="32"/>
          <w:u w:val="none" w:color="auto"/>
        </w:rPr>
        <w:t>万元，完成预算的</w:t>
      </w:r>
      <w:r>
        <w:rPr>
          <w:rFonts w:hint="eastAsia" w:ascii="仿宋_GB2312" w:hAnsi="仿宋_GB2312" w:eastAsia="仿宋_GB2312" w:cs="仿宋_GB2312"/>
          <w:b w:val="0"/>
          <w:bCs w:val="0"/>
          <w:color w:val="auto"/>
          <w:kern w:val="0"/>
          <w:sz w:val="32"/>
          <w:szCs w:val="32"/>
          <w:u w:val="none" w:color="auto"/>
          <w:lang w:val="en-US" w:eastAsia="zh-CN"/>
        </w:rPr>
        <w:t>90.8</w:t>
      </w:r>
      <w:r>
        <w:rPr>
          <w:rFonts w:hint="eastAsia" w:ascii="仿宋_GB2312" w:hAnsi="仿宋_GB2312" w:eastAsia="仿宋_GB2312" w:cs="仿宋_GB2312"/>
          <w:b w:val="0"/>
          <w:bCs w:val="0"/>
          <w:color w:val="auto"/>
          <w:kern w:val="0"/>
          <w:sz w:val="32"/>
          <w:szCs w:val="32"/>
          <w:u w:val="none" w:color="auto"/>
        </w:rPr>
        <w:t>%。项目绩效目标完成情况：截至2024年底，已经完成6台国产电脑及其配套软件采购工作，每台计算机不含保密套件</w:t>
      </w:r>
      <w:r>
        <w:rPr>
          <w:rFonts w:hint="eastAsia" w:ascii="仿宋_GB2312" w:hAnsi="仿宋_GB2312" w:eastAsia="仿宋_GB2312" w:cs="仿宋_GB2312"/>
          <w:b w:val="0"/>
          <w:bCs w:val="0"/>
          <w:color w:val="auto"/>
          <w:kern w:val="0"/>
          <w:sz w:val="32"/>
          <w:szCs w:val="32"/>
          <w:u w:val="none" w:color="auto"/>
          <w:lang w:eastAsia="zh-CN"/>
        </w:rPr>
        <w:t>。</w:t>
      </w:r>
      <w:r>
        <w:rPr>
          <w:rFonts w:hint="eastAsia" w:ascii="仿宋_GB2312" w:hAnsi="仿宋_GB2312" w:eastAsia="仿宋_GB2312" w:cs="仿宋_GB2312"/>
          <w:b w:val="0"/>
          <w:bCs w:val="0"/>
          <w:color w:val="auto"/>
          <w:kern w:val="0"/>
          <w:sz w:val="32"/>
          <w:szCs w:val="32"/>
          <w:u w:val="none" w:color="auto"/>
        </w:rPr>
        <w:t>通过该项目的实施，能够满足2023-2024年机关单位新进人员日常办公需求，提高办公效率，该项目资金已按时拨付，采购计算机均已到货，已完成年度任务。发现的主要问题及原因：因采购计算机为互联网计算机，高新区暂时不满足安装涉密机器条件，每台计算机不含保密套件，主机成本每台减少800元，共减少4800元。计划使用52248元，实际使用47448元。由于指标下达之后财政封账，资金2023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r>
        <w:rPr>
          <w:rFonts w:hint="eastAsia" w:ascii="仿宋_GB2312" w:hAnsi="仿宋_GB2312" w:eastAsia="仿宋_GB2312" w:cs="仿宋_GB2312"/>
          <w:sz w:val="32"/>
          <w:szCs w:val="32"/>
        </w:rPr>
        <w:t>年尚未支付。下一步改进措施：严格按照财政相关规定，强化资金管理，提高资金使用效率。</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rPr>
        <w:t>.2024年自治区财政一般公共预算资金用于公路建设支出项目自评综述：根据年初设定的绩效目标，项目自评得分</w:t>
      </w:r>
      <w:r>
        <w:rPr>
          <w:rFonts w:hint="eastAsia" w:ascii="仿宋_GB2312" w:hAnsi="仿宋_GB2312" w:eastAsia="仿宋_GB2312" w:cs="仿宋_GB2312"/>
          <w:color w:val="auto"/>
          <w:sz w:val="32"/>
          <w:szCs w:val="32"/>
          <w:u w:val="none" w:color="auto"/>
          <w:lang w:val="en-US" w:eastAsia="zh-CN"/>
        </w:rPr>
        <w:t>100</w:t>
      </w:r>
      <w:r>
        <w:rPr>
          <w:rFonts w:hint="eastAsia" w:ascii="仿宋_GB2312" w:hAnsi="仿宋_GB2312" w:eastAsia="仿宋_GB2312" w:cs="仿宋_GB2312"/>
          <w:color w:val="auto"/>
          <w:sz w:val="32"/>
          <w:szCs w:val="32"/>
          <w:u w:val="none" w:color="auto"/>
        </w:rPr>
        <w:t>分。全年预算数为</w:t>
      </w:r>
      <w:r>
        <w:rPr>
          <w:rFonts w:hint="eastAsia" w:ascii="仿宋_GB2312" w:hAnsi="仿宋_GB2312" w:eastAsia="仿宋_GB2312" w:cs="仿宋_GB2312"/>
          <w:color w:val="auto"/>
          <w:sz w:val="32"/>
          <w:szCs w:val="32"/>
          <w:u w:val="none" w:color="auto"/>
          <w:lang w:val="en-US" w:eastAsia="zh-CN"/>
        </w:rPr>
        <w:t>86</w:t>
      </w:r>
      <w:r>
        <w:rPr>
          <w:rFonts w:hint="eastAsia" w:ascii="仿宋_GB2312" w:hAnsi="仿宋_GB2312" w:eastAsia="仿宋_GB2312" w:cs="仿宋_GB2312"/>
          <w:color w:val="auto"/>
          <w:sz w:val="32"/>
          <w:szCs w:val="32"/>
          <w:u w:val="none" w:color="auto"/>
        </w:rPr>
        <w:t>万元，执行数为</w:t>
      </w:r>
      <w:r>
        <w:rPr>
          <w:rFonts w:hint="eastAsia" w:ascii="仿宋_GB2312" w:hAnsi="仿宋_GB2312" w:eastAsia="仿宋_GB2312" w:cs="仿宋_GB2312"/>
          <w:color w:val="auto"/>
          <w:sz w:val="32"/>
          <w:szCs w:val="32"/>
          <w:u w:val="none" w:color="auto"/>
          <w:lang w:val="en-US" w:eastAsia="zh-CN"/>
        </w:rPr>
        <w:t>86</w:t>
      </w:r>
      <w:r>
        <w:rPr>
          <w:rFonts w:hint="eastAsia" w:ascii="仿宋_GB2312" w:hAnsi="仿宋_GB2312" w:eastAsia="仿宋_GB2312" w:cs="仿宋_GB2312"/>
          <w:color w:val="auto"/>
          <w:sz w:val="32"/>
          <w:szCs w:val="32"/>
          <w:u w:val="none" w:color="auto"/>
        </w:rPr>
        <w:t>万元，完成预算的</w:t>
      </w:r>
      <w:r>
        <w:rPr>
          <w:rFonts w:hint="eastAsia" w:ascii="仿宋_GB2312" w:hAnsi="仿宋_GB2312" w:eastAsia="仿宋_GB2312" w:cs="仿宋_GB2312"/>
          <w:color w:val="auto"/>
          <w:sz w:val="32"/>
          <w:szCs w:val="32"/>
          <w:u w:val="none" w:color="auto"/>
          <w:lang w:val="en-US" w:eastAsia="zh-CN"/>
        </w:rPr>
        <w:t>100</w:t>
      </w:r>
      <w:r>
        <w:rPr>
          <w:rFonts w:hint="eastAsia" w:ascii="仿宋_GB2312" w:hAnsi="仿宋_GB2312" w:eastAsia="仿宋_GB2312" w:cs="仿宋_GB2312"/>
          <w:color w:val="auto"/>
          <w:sz w:val="32"/>
          <w:szCs w:val="32"/>
          <w:u w:val="none" w:color="auto"/>
        </w:rPr>
        <w:t>%。项目绩效目标完成情况：已按资金使用计划完成设定目标工作，已完工工程合格率100%，达到资金支付条件，已履行相关财务审批制度，完成资金支付。该项目的建成，有利于改善园区的交通状况，优化园区内的道路循环系统，提高路网通行能力，满足园区入驻企业及周边居民的出行需求。发现的主要问题及原因：该项目无问题，按要求进行支付。下一步改进措施：</w:t>
      </w:r>
      <w:r>
        <w:rPr>
          <w:rFonts w:hint="eastAsia" w:ascii="仿宋_GB2312" w:hAnsi="仿宋_GB2312" w:eastAsia="仿宋_GB2312" w:cs="仿宋_GB2312"/>
          <w:color w:val="auto"/>
          <w:sz w:val="32"/>
          <w:szCs w:val="32"/>
          <w:u w:val="none" w:color="auto"/>
          <w:lang w:eastAsia="zh-CN"/>
        </w:rPr>
        <w:t>下一步</w:t>
      </w:r>
      <w:r>
        <w:rPr>
          <w:rFonts w:hint="eastAsia" w:ascii="仿宋_GB2312" w:hAnsi="仿宋_GB2312" w:eastAsia="仿宋_GB2312" w:cs="仿宋_GB2312"/>
          <w:color w:val="auto"/>
          <w:sz w:val="32"/>
          <w:szCs w:val="32"/>
          <w:u w:val="none" w:color="auto"/>
        </w:rPr>
        <w:t>将持续关注工程项目后续建设工作，合理、妥善安排各项工作，在保障施工安全、工程质量的前提下，加快施工进度，确保项目能够保质保量完工，如期完工交付使用，满足园区入驻企业及周边居民的生产需求、出行需求。</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color="auto"/>
          <w:lang w:eastAsia="zh-CN"/>
        </w:rPr>
      </w:pP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.2024年自治区预算内基本建设投资预算项目自评综述：根据年初设定的绩效目标，项目自评得分</w:t>
      </w:r>
      <w:r>
        <w:rPr>
          <w:rFonts w:hint="eastAsia" w:ascii="仿宋_GB2312" w:hAnsi="仿宋_GB2312" w:eastAsia="仿宋_GB2312" w:cs="仿宋_GB2312"/>
          <w:color w:val="auto"/>
          <w:sz w:val="32"/>
          <w:szCs w:val="32"/>
          <w:u w:val="none" w:color="auto"/>
          <w:lang w:val="en-US" w:eastAsia="zh-CN"/>
        </w:rPr>
        <w:t>99</w:t>
      </w:r>
      <w:r>
        <w:rPr>
          <w:rFonts w:hint="eastAsia" w:ascii="仿宋_GB2312" w:hAnsi="仿宋_GB2312" w:eastAsia="仿宋_GB2312" w:cs="仿宋_GB2312"/>
          <w:color w:val="auto"/>
          <w:sz w:val="32"/>
          <w:szCs w:val="32"/>
          <w:u w:val="none" w:color="auto"/>
        </w:rPr>
        <w:t>分。全年预算数为</w:t>
      </w:r>
      <w:r>
        <w:rPr>
          <w:rFonts w:hint="eastAsia" w:ascii="仿宋_GB2312" w:hAnsi="仿宋_GB2312" w:eastAsia="仿宋_GB2312" w:cs="仿宋_GB2312"/>
          <w:color w:val="auto"/>
          <w:sz w:val="32"/>
          <w:szCs w:val="32"/>
          <w:u w:val="none" w:color="auto"/>
          <w:lang w:val="en-US" w:eastAsia="zh-CN"/>
        </w:rPr>
        <w:t>500</w:t>
      </w:r>
      <w:r>
        <w:rPr>
          <w:rFonts w:hint="eastAsia" w:ascii="仿宋_GB2312" w:hAnsi="仿宋_GB2312" w:eastAsia="仿宋_GB2312" w:cs="仿宋_GB2312"/>
          <w:color w:val="auto"/>
          <w:sz w:val="32"/>
          <w:szCs w:val="32"/>
          <w:u w:val="none" w:color="auto"/>
        </w:rPr>
        <w:t>万元，执行数为</w:t>
      </w:r>
      <w:r>
        <w:rPr>
          <w:rFonts w:hint="eastAsia" w:ascii="仿宋_GB2312" w:hAnsi="仿宋_GB2312" w:eastAsia="仿宋_GB2312" w:cs="仿宋_GB2312"/>
          <w:color w:val="auto"/>
          <w:sz w:val="32"/>
          <w:szCs w:val="32"/>
          <w:u w:val="none" w:color="auto"/>
          <w:lang w:val="en-US" w:eastAsia="zh-CN"/>
        </w:rPr>
        <w:t>500</w:t>
      </w:r>
      <w:r>
        <w:rPr>
          <w:rFonts w:hint="eastAsia" w:ascii="仿宋_GB2312" w:hAnsi="仿宋_GB2312" w:eastAsia="仿宋_GB2312" w:cs="仿宋_GB2312"/>
          <w:color w:val="auto"/>
          <w:sz w:val="32"/>
          <w:szCs w:val="32"/>
          <w:u w:val="none" w:color="auto"/>
        </w:rPr>
        <w:t>万元，完成预算的</w:t>
      </w:r>
      <w:r>
        <w:rPr>
          <w:rFonts w:hint="eastAsia" w:ascii="仿宋_GB2312" w:hAnsi="仿宋_GB2312" w:eastAsia="仿宋_GB2312" w:cs="仿宋_GB2312"/>
          <w:color w:val="auto"/>
          <w:sz w:val="32"/>
          <w:szCs w:val="32"/>
          <w:u w:val="none" w:color="auto"/>
          <w:lang w:val="en-US" w:eastAsia="zh-CN"/>
        </w:rPr>
        <w:t>100</w:t>
      </w:r>
      <w:r>
        <w:rPr>
          <w:rFonts w:hint="eastAsia" w:ascii="仿宋_GB2312" w:hAnsi="仿宋_GB2312" w:eastAsia="仿宋_GB2312" w:cs="仿宋_GB2312"/>
          <w:color w:val="auto"/>
          <w:sz w:val="32"/>
          <w:szCs w:val="32"/>
          <w:u w:val="none" w:color="auto"/>
        </w:rPr>
        <w:t>%。项目绩效目标完成情况：2024年，计划使用该笔资金完成赤峰高新区有色金属高端新材料产业园标准化厂房（一期）建设项目、赤峰高新区东山产业园化工集中区应急事故池项目、赤峰高新区东山产业园综合管廊工程云铜至明岳段建设项目等八个园区基础设施建设项目涉及的共计34项前期工作。目前，已按计划完成全部前期工作，达到资金支付条件，已按财务审批制度规定，履行签批手续，完成资金支付。本项目有利于保障及时完成各项前期工作，推动项目开工建设。发现的主要问题及原因：该项目无问题，按要求进行支付。下一步改进措施：</w:t>
      </w:r>
      <w:r>
        <w:rPr>
          <w:rFonts w:hint="eastAsia" w:ascii="仿宋_GB2312" w:hAnsi="仿宋_GB2312" w:eastAsia="仿宋_GB2312" w:cs="仿宋_GB2312"/>
          <w:color w:val="auto"/>
          <w:sz w:val="32"/>
          <w:szCs w:val="32"/>
          <w:u w:val="none" w:color="auto"/>
          <w:lang w:eastAsia="zh-CN"/>
        </w:rPr>
        <w:t>各项前期工作均已完成，下一步将做好专项资金使用效益分析，总结经验，推进绩效评价结果应用。后期将工作重点放到各项工程项目的后续建设工作上，积极组织施工方等有关单位开展项目建设，妥善、合理安排各项工作，在保障施工安全、工程质量的前提下，各项工作交叉进行，加快施工进度，确保各项目能够保质保量如期完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5</w:t>
      </w:r>
      <w:r>
        <w:rPr>
          <w:rFonts w:hint="eastAsia" w:ascii="仿宋_GB2312" w:hAnsi="仿宋_GB2312" w:eastAsia="仿宋_GB2312" w:cs="仿宋_GB2312"/>
          <w:color w:val="auto"/>
          <w:sz w:val="32"/>
          <w:szCs w:val="32"/>
          <w:u w:val="none" w:color="auto"/>
        </w:rPr>
        <w:t>.赤峰市高新区东山产业园地下水检测预算项目自评综述：根据年初设定的绩效目标，项目自评得分</w:t>
      </w:r>
      <w:r>
        <w:rPr>
          <w:rFonts w:hint="eastAsia" w:ascii="仿宋_GB2312" w:hAnsi="仿宋_GB2312" w:eastAsia="仿宋_GB2312" w:cs="仿宋_GB2312"/>
          <w:color w:val="auto"/>
          <w:sz w:val="32"/>
          <w:szCs w:val="32"/>
          <w:u w:val="none" w:color="auto"/>
          <w:lang w:val="en-US" w:eastAsia="zh-CN"/>
        </w:rPr>
        <w:t>91.82</w:t>
      </w:r>
      <w:r>
        <w:rPr>
          <w:rFonts w:hint="eastAsia" w:ascii="仿宋_GB2312" w:hAnsi="仿宋_GB2312" w:eastAsia="仿宋_GB2312" w:cs="仿宋_GB2312"/>
          <w:color w:val="auto"/>
          <w:sz w:val="32"/>
          <w:szCs w:val="32"/>
          <w:u w:val="none" w:color="auto"/>
        </w:rPr>
        <w:t>分。全年预算数为</w:t>
      </w:r>
      <w:r>
        <w:rPr>
          <w:rFonts w:hint="eastAsia" w:ascii="仿宋_GB2312" w:hAnsi="仿宋_GB2312" w:eastAsia="仿宋_GB2312" w:cs="仿宋_GB2312"/>
          <w:color w:val="auto"/>
          <w:sz w:val="32"/>
          <w:szCs w:val="32"/>
          <w:u w:val="none" w:color="auto"/>
          <w:lang w:val="en-US" w:eastAsia="zh-CN"/>
        </w:rPr>
        <w:t>39.6</w:t>
      </w:r>
      <w:r>
        <w:rPr>
          <w:rFonts w:hint="eastAsia" w:ascii="仿宋_GB2312" w:hAnsi="仿宋_GB2312" w:eastAsia="仿宋_GB2312" w:cs="仿宋_GB2312"/>
          <w:color w:val="auto"/>
          <w:sz w:val="32"/>
          <w:szCs w:val="32"/>
          <w:u w:val="none" w:color="auto"/>
        </w:rPr>
        <w:t>万元，执行数为</w:t>
      </w:r>
      <w:r>
        <w:rPr>
          <w:rFonts w:hint="eastAsia" w:ascii="仿宋_GB2312" w:hAnsi="仿宋_GB2312" w:eastAsia="仿宋_GB2312" w:cs="仿宋_GB2312"/>
          <w:color w:val="auto"/>
          <w:sz w:val="32"/>
          <w:szCs w:val="32"/>
          <w:u w:val="none" w:color="auto"/>
          <w:lang w:val="en-US" w:eastAsia="zh-CN"/>
        </w:rPr>
        <w:t>36.38</w:t>
      </w:r>
      <w:r>
        <w:rPr>
          <w:rFonts w:hint="eastAsia" w:ascii="仿宋_GB2312" w:hAnsi="仿宋_GB2312" w:eastAsia="仿宋_GB2312" w:cs="仿宋_GB2312"/>
          <w:color w:val="auto"/>
          <w:sz w:val="32"/>
          <w:szCs w:val="32"/>
          <w:u w:val="none" w:color="auto"/>
        </w:rPr>
        <w:t>万元，完成预算的</w:t>
      </w:r>
      <w:r>
        <w:rPr>
          <w:rFonts w:hint="eastAsia" w:ascii="仿宋_GB2312" w:hAnsi="仿宋_GB2312" w:eastAsia="仿宋_GB2312" w:cs="仿宋_GB2312"/>
          <w:color w:val="auto"/>
          <w:sz w:val="32"/>
          <w:szCs w:val="32"/>
          <w:u w:val="none" w:color="auto"/>
          <w:lang w:val="en-US" w:eastAsia="zh-CN"/>
        </w:rPr>
        <w:t>91.87</w:t>
      </w:r>
      <w:r>
        <w:rPr>
          <w:rFonts w:hint="eastAsia" w:ascii="仿宋_GB2312" w:hAnsi="仿宋_GB2312" w:eastAsia="仿宋_GB2312" w:cs="仿宋_GB2312"/>
          <w:color w:val="auto"/>
          <w:sz w:val="32"/>
          <w:szCs w:val="32"/>
          <w:u w:val="none" w:color="auto"/>
        </w:rPr>
        <w:t>%。项目绩效目标完成情况：截止至2024年底已经</w:t>
      </w:r>
      <w:r>
        <w:rPr>
          <w:rFonts w:hint="eastAsia" w:ascii="仿宋_GB2312" w:hAnsi="仿宋_GB2312" w:eastAsia="仿宋_GB2312" w:cs="仿宋_GB2312"/>
          <w:color w:val="auto"/>
          <w:sz w:val="32"/>
          <w:szCs w:val="32"/>
          <w:u w:val="none" w:color="auto"/>
          <w:lang w:eastAsia="zh-CN"/>
        </w:rPr>
        <w:t>全部</w:t>
      </w:r>
      <w:r>
        <w:rPr>
          <w:rFonts w:hint="eastAsia" w:ascii="仿宋_GB2312" w:hAnsi="仿宋_GB2312" w:eastAsia="仿宋_GB2312" w:cs="仿宋_GB2312"/>
          <w:color w:val="auto"/>
          <w:sz w:val="32"/>
          <w:szCs w:val="32"/>
          <w:u w:val="none" w:color="auto"/>
        </w:rPr>
        <w:t>完成赤峰高新技术产业开发区东山产业园地下水监测工作</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按照相关文件要求及时完成了地下水检测及地下水检测编制报告、地下水全指标检测报告和地下水超标项和特征污染物检测报告</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通过该项目实施，完成赤峰高新区东山产业园地下水检测工作，提升东山产业园地下水环境质量，降低水环境安全隐患。发现的主要问题及原因：部分园区地下水监测井存在检测因子超标项，需持续关注；园区地下水环境质量仍然需要持续关注，需提升水环境质量</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下一步改进措施：</w:t>
      </w:r>
      <w:r>
        <w:rPr>
          <w:rFonts w:hint="eastAsia" w:ascii="仿宋_GB2312" w:hAnsi="仿宋_GB2312" w:eastAsia="仿宋_GB2312" w:cs="仿宋_GB2312"/>
          <w:color w:val="auto"/>
          <w:sz w:val="32"/>
          <w:szCs w:val="32"/>
          <w:u w:val="none" w:color="auto"/>
          <w:lang w:eastAsia="zh-CN"/>
        </w:rPr>
        <w:t>后续将持续关注赤峰高新技术产业开发区东山产业园地下水环境状况，完成每季度园区地下水检测及报告编制工作。对于园区地下水超标项持续跟踪检测，保证园区地下水检测因子的准确性和及时性。也将建立东山产业园地下水的持续及长效的监管机制，及时掌握东山产业园地下水监测井水环境状况，有效防范化解园区地下水环境安全隐患。</w:t>
      </w:r>
    </w:p>
    <w:p>
      <w:pPr>
        <w:keepNext w:val="0"/>
        <w:keepLines w:val="0"/>
        <w:pageBreakBefore w:val="0"/>
        <w:widowControl/>
        <w:numPr>
          <w:ilvl w:val="0"/>
          <w:numId w:val="6"/>
        </w:numPr>
        <w:kinsoku/>
        <w:wordWrap/>
        <w:overflowPunct/>
        <w:topLinePunct w:val="0"/>
        <w:autoSpaceDE/>
        <w:autoSpaceDN/>
        <w:bidi w:val="0"/>
        <w:adjustRightInd/>
        <w:snapToGrid/>
        <w:spacing w:line="560" w:lineRule="atLeast"/>
        <w:ind w:firstLine="640" w:firstLineChars="200"/>
        <w:jc w:val="left"/>
        <w:textAlignment w:val="auto"/>
        <w:rPr>
          <w:rFonts w:hint="eastAsia" w:ascii="楷体_GB2312" w:hAnsi="楷体_GB2312" w:eastAsia="楷体_GB2312" w:cs="楷体_GB2312"/>
          <w:b w:val="0"/>
          <w:bCs w:val="0"/>
          <w:color w:val="auto"/>
          <w:kern w:val="0"/>
          <w:sz w:val="32"/>
          <w:szCs w:val="32"/>
          <w:u w:val="none" w:color="auto"/>
        </w:rPr>
      </w:pPr>
      <w:r>
        <w:rPr>
          <w:rFonts w:hint="eastAsia" w:ascii="楷体_GB2312" w:hAnsi="楷体_GB2312" w:eastAsia="楷体_GB2312" w:cs="楷体_GB2312"/>
          <w:b w:val="0"/>
          <w:bCs w:val="0"/>
          <w:color w:val="auto"/>
          <w:kern w:val="0"/>
          <w:sz w:val="32"/>
          <w:szCs w:val="32"/>
          <w:u w:val="none" w:color="auto"/>
        </w:rPr>
        <w:t>部门项目绩效评价结果。</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仿宋_GB2312" w:hAnsi="仿宋_GB2312" w:eastAsia="仿宋_GB2312" w:cs="仿宋_GB2312"/>
          <w:b w:val="0"/>
          <w:bCs w:val="0"/>
          <w:color w:val="auto"/>
          <w:kern w:val="0"/>
          <w:sz w:val="32"/>
          <w:szCs w:val="32"/>
          <w:u w:val="none" w:color="auto"/>
        </w:rPr>
        <w:t>以赤峰市高新区东山产业园地下水检测项目为例，该项目绩效评价综合得分为</w:t>
      </w:r>
      <w:r>
        <w:rPr>
          <w:rFonts w:hint="eastAsia" w:ascii="仿宋_GB2312" w:hAnsi="仿宋_GB2312" w:eastAsia="仿宋_GB2312" w:cs="仿宋_GB2312"/>
          <w:b w:val="0"/>
          <w:bCs w:val="0"/>
          <w:color w:val="auto"/>
          <w:kern w:val="0"/>
          <w:sz w:val="32"/>
          <w:szCs w:val="32"/>
          <w:u w:val="none" w:color="auto"/>
          <w:lang w:val="en-US" w:eastAsia="zh-CN"/>
        </w:rPr>
        <w:t>91.82</w:t>
      </w:r>
      <w:r>
        <w:rPr>
          <w:rFonts w:hint="eastAsia" w:ascii="仿宋_GB2312" w:hAnsi="仿宋_GB2312" w:eastAsia="仿宋_GB2312" w:cs="仿宋_GB2312"/>
          <w:b w:val="0"/>
          <w:bCs w:val="0"/>
          <w:color w:val="auto"/>
          <w:kern w:val="0"/>
          <w:sz w:val="32"/>
          <w:szCs w:val="32"/>
          <w:u w:val="none" w:color="auto"/>
        </w:rPr>
        <w:t>分，绩效评价结果为“优”。重点项目绩效评价得分情况</w:t>
      </w:r>
      <w:r>
        <w:rPr>
          <w:rFonts w:hint="eastAsia" w:ascii="仿宋_GB2312" w:hAnsi="仿宋_GB2312" w:eastAsia="仿宋_GB2312" w:cs="仿宋_GB2312"/>
          <w:b w:val="0"/>
          <w:bCs w:val="0"/>
          <w:color w:val="auto"/>
          <w:kern w:val="0"/>
          <w:sz w:val="32"/>
          <w:szCs w:val="32"/>
          <w:u w:val="none" w:color="auto"/>
          <w:lang w:eastAsia="zh-CN"/>
        </w:rPr>
        <w:t>及绩效评价自评报告</w:t>
      </w:r>
      <w:r>
        <w:rPr>
          <w:rFonts w:hint="eastAsia" w:ascii="仿宋_GB2312" w:hAnsi="仿宋_GB2312" w:eastAsia="仿宋_GB2312" w:cs="仿宋_GB2312"/>
          <w:b w:val="0"/>
          <w:bCs w:val="0"/>
          <w:color w:val="auto"/>
          <w:kern w:val="0"/>
          <w:sz w:val="32"/>
          <w:szCs w:val="32"/>
          <w:u w:val="none" w:color="auto"/>
        </w:rPr>
        <w:t>详见</w:t>
      </w:r>
      <w:r>
        <w:rPr>
          <w:rFonts w:hint="eastAsia" w:ascii="仿宋_GB2312" w:hAnsi="仿宋_GB2312" w:eastAsia="仿宋_GB2312" w:cs="仿宋_GB2312"/>
          <w:b w:val="0"/>
          <w:bCs w:val="0"/>
          <w:color w:val="auto"/>
          <w:kern w:val="0"/>
          <w:sz w:val="32"/>
          <w:szCs w:val="32"/>
          <w:u w:val="none" w:color="auto"/>
          <w:lang w:eastAsia="zh-CN"/>
        </w:rPr>
        <w:t>附件</w:t>
      </w:r>
      <w:r>
        <w:rPr>
          <w:rFonts w:hint="eastAsia" w:ascii="仿宋_GB2312" w:hAnsi="仿宋_GB2312" w:eastAsia="仿宋_GB2312" w:cs="仿宋_GB2312"/>
          <w:b w:val="0"/>
          <w:bCs w:val="0"/>
          <w:color w:val="auto"/>
          <w:kern w:val="0"/>
          <w:sz w:val="32"/>
          <w:szCs w:val="32"/>
          <w:u w:val="none" w:color="auto"/>
        </w:rPr>
        <w:t>。</w:t>
      </w:r>
    </w:p>
    <w:p>
      <w:pPr>
        <w:pStyle w:val="2"/>
        <w:rPr>
          <w:rFonts w:hint="eastAsia"/>
          <w:color w:val="auto"/>
          <w:u w:val="none" w:color="auto"/>
        </w:rPr>
      </w:pPr>
    </w:p>
    <w:p>
      <w:pPr>
        <w:pStyle w:val="5"/>
        <w:keepNext w:val="0"/>
        <w:keepLines w:val="0"/>
        <w:pageBreakBefore w:val="0"/>
        <w:widowControl/>
        <w:numPr>
          <w:ilvl w:val="0"/>
          <w:numId w:val="7"/>
        </w:numPr>
        <w:kinsoku/>
        <w:wordWrap/>
        <w:overflowPunct/>
        <w:topLinePunct w:val="0"/>
        <w:autoSpaceDE/>
        <w:autoSpaceDN/>
        <w:bidi w:val="0"/>
        <w:adjustRightInd/>
        <w:snapToGrid/>
        <w:spacing w:before="0" w:after="0" w:line="560" w:lineRule="atLeast"/>
        <w:ind w:firstLine="723" w:firstLineChars="200"/>
        <w:jc w:val="center"/>
        <w:textAlignment w:val="auto"/>
        <w:rPr>
          <w:rFonts w:hint="eastAsia" w:ascii="方正小标宋简体" w:hAnsi="方正小标宋简体" w:eastAsia="方正小标宋简体" w:cs="方正小标宋简体"/>
          <w:color w:val="auto"/>
          <w:kern w:val="0"/>
          <w:sz w:val="36"/>
          <w:szCs w:val="36"/>
          <w:u w:val="none" w:color="auto"/>
        </w:rPr>
      </w:pPr>
      <w:r>
        <w:rPr>
          <w:rFonts w:hint="eastAsia" w:ascii="方正小标宋简体" w:hAnsi="方正小标宋简体" w:eastAsia="方正小标宋简体" w:cs="方正小标宋简体"/>
          <w:color w:val="auto"/>
          <w:kern w:val="0"/>
          <w:sz w:val="36"/>
          <w:szCs w:val="36"/>
          <w:u w:val="none" w:color="auto"/>
        </w:rPr>
        <w:t>名词解释</w:t>
      </w:r>
    </w:p>
    <w:p>
      <w:pPr>
        <w:numPr>
          <w:ilvl w:val="0"/>
          <w:numId w:val="0"/>
        </w:numPr>
        <w:rPr>
          <w:rFonts w:hint="eastAsia"/>
          <w:color w:val="auto"/>
          <w:u w:val="none" w:color="auto"/>
        </w:rPr>
      </w:pP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一、财政拨款收入：</w:t>
      </w:r>
      <w:r>
        <w:rPr>
          <w:rFonts w:hint="eastAsia" w:ascii="仿宋_GB2312" w:hAnsi="仿宋_GB2312" w:eastAsia="仿宋_GB2312" w:cs="仿宋_GB2312"/>
          <w:b w:val="0"/>
          <w:bCs w:val="0"/>
          <w:color w:val="auto"/>
          <w:kern w:val="0"/>
          <w:sz w:val="32"/>
          <w:szCs w:val="32"/>
          <w:u w:val="none" w:color="auto"/>
        </w:rPr>
        <w:t>从同级财政部门取得的各类财政拨款，包括一般公共预算财政拨款、政府性基金预算财政拨款、国有资本经营预算财政拨款。</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二、上级补助收入：</w:t>
      </w:r>
      <w:r>
        <w:rPr>
          <w:rFonts w:hint="eastAsia" w:ascii="仿宋_GB2312" w:hAnsi="仿宋_GB2312" w:eastAsia="仿宋_GB2312" w:cs="仿宋_GB2312"/>
          <w:b w:val="0"/>
          <w:bCs w:val="0"/>
          <w:color w:val="auto"/>
          <w:kern w:val="0"/>
          <w:sz w:val="32"/>
          <w:szCs w:val="32"/>
          <w:u w:val="none" w:color="auto"/>
        </w:rPr>
        <w:t>指事业单位从主管部门和上级单位取得的非财政补助收入。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Times New Roman" w:hAnsi="Times New Roman" w:eastAsia="宋体" w:cs="Times New Roman"/>
          <w:kern w:val="2"/>
          <w:sz w:val="21"/>
          <w:szCs w:val="24"/>
          <w:lang w:val="en-US" w:eastAsia="zh-CN" w:bidi="ar-SA"/>
        </w:rPr>
      </w:pPr>
      <w:r>
        <w:rPr>
          <w:rFonts w:hint="eastAsia" w:ascii="黑体" w:hAnsi="黑体" w:eastAsia="黑体" w:cs="黑体"/>
          <w:b w:val="0"/>
          <w:bCs w:val="0"/>
          <w:color w:val="auto"/>
          <w:kern w:val="0"/>
          <w:sz w:val="32"/>
          <w:szCs w:val="32"/>
          <w:u w:val="none" w:color="auto"/>
        </w:rPr>
        <w:t>三、财政专户管理教育收费：</w:t>
      </w:r>
      <w:r>
        <w:rPr>
          <w:rFonts w:hint="eastAsia" w:ascii="仿宋_GB2312" w:hAnsi="仿宋_GB2312" w:eastAsia="仿宋_GB2312" w:cs="仿宋_GB2312"/>
          <w:b w:val="0"/>
          <w:bCs w:val="0"/>
          <w:color w:val="auto"/>
          <w:kern w:val="0"/>
          <w:sz w:val="32"/>
          <w:szCs w:val="32"/>
          <w:u w:val="none" w:color="auto"/>
        </w:rPr>
        <w:t>指缴入财政专户、实行专项管理的高中以上学费、住宿费、高校委托培养费、函大、电大、夜大及短训班培训费等教育收费。</w:t>
      </w:r>
      <w:bookmarkStart w:id="1" w:name="_GoBack"/>
      <w:bookmarkEnd w:id="1"/>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四、事业收入：</w:t>
      </w:r>
      <w:r>
        <w:rPr>
          <w:rFonts w:hint="eastAsia" w:ascii="仿宋_GB2312" w:hAnsi="仿宋_GB2312" w:eastAsia="仿宋_GB2312" w:cs="仿宋_GB2312"/>
          <w:sz w:val="32"/>
          <w:szCs w:val="32"/>
        </w:rPr>
        <w:t>指事业单位开展专业业务活动及其辅助活动取得的收入。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五、经营收入：</w:t>
      </w:r>
      <w:r>
        <w:rPr>
          <w:rFonts w:hint="eastAsia" w:ascii="仿宋_GB2312" w:hAnsi="仿宋_GB2312" w:eastAsia="仿宋_GB2312" w:cs="仿宋_GB2312"/>
          <w:b w:val="0"/>
          <w:bCs w:val="0"/>
          <w:color w:val="auto"/>
          <w:kern w:val="0"/>
          <w:sz w:val="32"/>
          <w:szCs w:val="32"/>
          <w:u w:val="none" w:color="auto"/>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六、附属单位上缴收入：</w:t>
      </w:r>
      <w:r>
        <w:rPr>
          <w:rFonts w:hint="eastAsia" w:ascii="仿宋_GB2312" w:hAnsi="仿宋_GB2312" w:eastAsia="仿宋_GB2312" w:cs="仿宋_GB2312"/>
          <w:b w:val="0"/>
          <w:bCs w:val="0"/>
          <w:color w:val="auto"/>
          <w:kern w:val="0"/>
          <w:sz w:val="32"/>
          <w:szCs w:val="32"/>
          <w:u w:val="none" w:color="auto"/>
        </w:rPr>
        <w:t>指事业单位取得附属独立核算单位按照有关规定上缴的收入。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黑体" w:hAnsi="黑体" w:eastAsia="黑体" w:cs="黑体"/>
          <w:color w:val="auto"/>
          <w:sz w:val="32"/>
          <w:szCs w:val="32"/>
          <w:u w:val="none" w:color="auto"/>
        </w:rPr>
        <w:t>七、其他收入：</w:t>
      </w:r>
      <w:r>
        <w:rPr>
          <w:rFonts w:hint="eastAsia" w:ascii="仿宋_GB2312" w:hAnsi="仿宋_GB2312" w:eastAsia="仿宋_GB2312" w:cs="仿宋_GB2312"/>
          <w:color w:val="auto"/>
          <w:sz w:val="32"/>
          <w:szCs w:val="32"/>
          <w:u w:val="none" w:color="auto"/>
        </w:rPr>
        <w:t>取得的除上述“财政拨款收入”、“上级补助收入”、“事业收入”、“经营收入”、“附属单位上缴收入”等以外的各项收入。</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八、使用非财政拨款结余（含专用结余）：</w:t>
      </w:r>
      <w:r>
        <w:rPr>
          <w:rFonts w:hint="eastAsia" w:ascii="仿宋_GB2312" w:hAnsi="仿宋_GB2312" w:eastAsia="仿宋_GB2312" w:cs="仿宋_GB2312"/>
          <w:b w:val="0"/>
          <w:bCs w:val="0"/>
          <w:color w:val="auto"/>
          <w:kern w:val="0"/>
          <w:sz w:val="32"/>
          <w:szCs w:val="32"/>
          <w:u w:val="none" w:color="auto"/>
        </w:rPr>
        <w:t>指事业单位按照预算管理要求使用非财政拨款结余弥补收支差额的金额，以及使用专用结余安排支出的金额。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九、年初结转和结余：</w:t>
      </w:r>
      <w:r>
        <w:rPr>
          <w:rFonts w:hint="eastAsia" w:ascii="仿宋_GB2312" w:hAnsi="仿宋_GB2312" w:eastAsia="仿宋_GB2312" w:cs="仿宋_GB2312"/>
          <w:b w:val="0"/>
          <w:bCs w:val="0"/>
          <w:color w:val="auto"/>
          <w:kern w:val="0"/>
          <w:sz w:val="32"/>
          <w:szCs w:val="32"/>
          <w:u w:val="none" w:color="auto"/>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十、结余分配：</w:t>
      </w:r>
      <w:r>
        <w:rPr>
          <w:rFonts w:hint="eastAsia" w:ascii="仿宋_GB2312" w:hAnsi="仿宋_GB2312" w:eastAsia="仿宋_GB2312" w:cs="仿宋_GB2312"/>
          <w:b w:val="0"/>
          <w:bCs w:val="0"/>
          <w:color w:val="auto"/>
          <w:kern w:val="0"/>
          <w:sz w:val="32"/>
          <w:szCs w:val="32"/>
          <w:u w:val="none" w:color="auto"/>
        </w:rPr>
        <w:t>指事业单位按规定缴纳企业所得税以及从非财政拨款结余或经营结余中提取各类结余的情况。</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十一、年末结转和结余资金：</w:t>
      </w:r>
      <w:r>
        <w:rPr>
          <w:rFonts w:hint="eastAsia" w:ascii="仿宋_GB2312" w:hAnsi="仿宋_GB2312" w:eastAsia="仿宋_GB2312" w:cs="仿宋_GB2312"/>
          <w:b w:val="0"/>
          <w:bCs w:val="0"/>
          <w:color w:val="auto"/>
          <w:kern w:val="0"/>
          <w:sz w:val="32"/>
          <w:szCs w:val="32"/>
          <w:u w:val="none" w:color="auto"/>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十二、基本支出：</w:t>
      </w:r>
      <w:r>
        <w:rPr>
          <w:rFonts w:hint="eastAsia" w:ascii="仿宋_GB2312" w:hAnsi="仿宋_GB2312" w:eastAsia="仿宋_GB2312" w:cs="仿宋_GB2312"/>
          <w:b w:val="0"/>
          <w:bCs w:val="0"/>
          <w:color w:val="auto"/>
          <w:kern w:val="0"/>
          <w:sz w:val="32"/>
          <w:szCs w:val="32"/>
          <w:u w:val="none" w:color="auto"/>
        </w:rPr>
        <w:t>指为保障机构正常运转、完成日常工作任务所发生的支出，包括人员经费和公用经费。</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十三、项目支出：</w:t>
      </w:r>
      <w:r>
        <w:rPr>
          <w:rFonts w:hint="eastAsia" w:ascii="仿宋_GB2312" w:hAnsi="仿宋_GB2312" w:eastAsia="仿宋_GB2312" w:cs="仿宋_GB2312"/>
          <w:b w:val="0"/>
          <w:bCs w:val="0"/>
          <w:color w:val="auto"/>
          <w:kern w:val="0"/>
          <w:sz w:val="32"/>
          <w:szCs w:val="32"/>
          <w:u w:val="none" w:color="auto"/>
        </w:rPr>
        <w:t>指在为完成特定的行政工作任务或事业发展目标所发生的支出。</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十四、上缴上级支出：</w:t>
      </w:r>
      <w:r>
        <w:rPr>
          <w:rFonts w:hint="eastAsia" w:ascii="仿宋_GB2312" w:hAnsi="仿宋_GB2312" w:eastAsia="仿宋_GB2312" w:cs="仿宋_GB2312"/>
          <w:b w:val="0"/>
          <w:bCs w:val="0"/>
          <w:color w:val="auto"/>
          <w:kern w:val="0"/>
          <w:sz w:val="32"/>
          <w:szCs w:val="32"/>
          <w:u w:val="none" w:color="auto"/>
        </w:rPr>
        <w:t>指事业单位按照财政部门和主管部门的规定上缴上级单位的支出。</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十五、经营支出：</w:t>
      </w:r>
      <w:r>
        <w:rPr>
          <w:rFonts w:hint="eastAsia" w:ascii="仿宋_GB2312" w:hAnsi="仿宋_GB2312" w:eastAsia="仿宋_GB2312" w:cs="仿宋_GB2312"/>
          <w:b w:val="0"/>
          <w:bCs w:val="0"/>
          <w:color w:val="auto"/>
          <w:kern w:val="0"/>
          <w:sz w:val="32"/>
          <w:szCs w:val="32"/>
          <w:u w:val="none" w:color="auto"/>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十六、对附属单位补助支出：</w:t>
      </w:r>
      <w:r>
        <w:rPr>
          <w:rFonts w:hint="eastAsia" w:ascii="仿宋_GB2312" w:hAnsi="仿宋_GB2312" w:eastAsia="仿宋_GB2312" w:cs="仿宋_GB2312"/>
          <w:b w:val="0"/>
          <w:bCs w:val="0"/>
          <w:color w:val="auto"/>
          <w:kern w:val="0"/>
          <w:sz w:val="32"/>
          <w:szCs w:val="32"/>
          <w:u w:val="none" w:color="auto"/>
        </w:rPr>
        <w:t>指事业单位用财政拨款收入之外的收入对附属单位补助发生的支出。</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十七、“三公”经费：</w:t>
      </w:r>
      <w:r>
        <w:rPr>
          <w:rFonts w:hint="eastAsia" w:ascii="仿宋_GB2312" w:hAnsi="仿宋_GB2312" w:eastAsia="仿宋_GB2312" w:cs="仿宋_GB2312"/>
          <w:b w:val="0"/>
          <w:bCs w:val="0"/>
          <w:color w:val="auto"/>
          <w:kern w:val="0"/>
          <w:sz w:val="32"/>
          <w:szCs w:val="32"/>
          <w:u w:val="none" w:color="auto"/>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val="0"/>
          <w:color w:val="auto"/>
          <w:kern w:val="0"/>
          <w:sz w:val="32"/>
          <w:szCs w:val="32"/>
          <w:u w:val="none" w:color="auto"/>
        </w:rPr>
      </w:pPr>
      <w:r>
        <w:rPr>
          <w:rFonts w:hint="eastAsia" w:ascii="黑体" w:hAnsi="黑体" w:eastAsia="黑体" w:cs="黑体"/>
          <w:b w:val="0"/>
          <w:bCs w:val="0"/>
          <w:color w:val="auto"/>
          <w:kern w:val="0"/>
          <w:sz w:val="32"/>
          <w:szCs w:val="32"/>
          <w:u w:val="none" w:color="auto"/>
        </w:rPr>
        <w:t>十八、机关运行经费：</w:t>
      </w:r>
      <w:r>
        <w:rPr>
          <w:rFonts w:hint="eastAsia" w:ascii="仿宋_GB2312" w:hAnsi="仿宋_GB2312" w:eastAsia="仿宋_GB2312" w:cs="仿宋_GB2312"/>
          <w:b w:val="0"/>
          <w:bCs w:val="0"/>
          <w:color w:val="auto"/>
          <w:kern w:val="0"/>
          <w:sz w:val="32"/>
          <w:szCs w:val="32"/>
          <w:u w:val="none" w:color="auto"/>
        </w:rPr>
        <w:t>指行政单位和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及其他费用等。</w:t>
      </w:r>
    </w:p>
    <w:p>
      <w:pPr>
        <w:pStyle w:val="2"/>
        <w:rPr>
          <w:rFonts w:hint="eastAsia"/>
          <w:color w:val="auto"/>
          <w:u w:val="none" w:color="auto"/>
        </w:rPr>
      </w:pPr>
    </w:p>
    <w:p>
      <w:pPr>
        <w:pStyle w:val="5"/>
        <w:keepNext w:val="0"/>
        <w:keepLines w:val="0"/>
        <w:pageBreakBefore w:val="0"/>
        <w:widowControl/>
        <w:numPr>
          <w:ilvl w:val="0"/>
          <w:numId w:val="7"/>
        </w:numPr>
        <w:kinsoku/>
        <w:wordWrap/>
        <w:overflowPunct/>
        <w:topLinePunct w:val="0"/>
        <w:autoSpaceDE/>
        <w:autoSpaceDN/>
        <w:bidi w:val="0"/>
        <w:adjustRightInd/>
        <w:snapToGrid/>
        <w:spacing w:before="0" w:after="0" w:line="560" w:lineRule="atLeast"/>
        <w:ind w:left="0" w:leftChars="0" w:firstLine="723" w:firstLineChars="200"/>
        <w:jc w:val="center"/>
        <w:textAlignment w:val="auto"/>
        <w:rPr>
          <w:rFonts w:hint="eastAsia" w:ascii="方正小标宋简体" w:hAnsi="方正小标宋简体" w:eastAsia="方正小标宋简体" w:cs="方正小标宋简体"/>
          <w:color w:val="auto"/>
          <w:kern w:val="0"/>
          <w:sz w:val="36"/>
          <w:szCs w:val="36"/>
          <w:u w:val="none" w:color="auto"/>
        </w:rPr>
      </w:pPr>
      <w:r>
        <w:rPr>
          <w:rFonts w:hint="eastAsia" w:ascii="方正小标宋简体" w:hAnsi="方正小标宋简体" w:eastAsia="方正小标宋简体" w:cs="方正小标宋简体"/>
          <w:color w:val="auto"/>
          <w:kern w:val="0"/>
          <w:sz w:val="36"/>
          <w:szCs w:val="36"/>
          <w:u w:val="none" w:color="auto"/>
        </w:rPr>
        <w:t>决算公开联系方式及信息反馈渠道</w:t>
      </w:r>
    </w:p>
    <w:p>
      <w:pPr>
        <w:numPr>
          <w:ilvl w:val="0"/>
          <w:numId w:val="0"/>
        </w:numPr>
        <w:ind w:leftChars="200"/>
        <w:rPr>
          <w:rFonts w:hint="eastAsia"/>
          <w:color w:val="auto"/>
          <w:u w:val="none" w:color="auto"/>
        </w:rPr>
      </w:pP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    本部门决算公开信息反馈和联系方式：</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    联系人：王梦迪           联系电话：0476-8303769</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u w:val="none" w:color="auto"/>
        </w:rPr>
      </w:pPr>
    </w:p>
    <w:p>
      <w:pPr>
        <w:pStyle w:val="2"/>
        <w:rPr>
          <w:rFonts w:hint="eastAsia"/>
          <w:color w:val="auto"/>
          <w:u w:val="none" w:color="auto"/>
        </w:rPr>
      </w:pPr>
    </w:p>
    <w:p>
      <w:pPr>
        <w:pStyle w:val="5"/>
        <w:keepNext w:val="0"/>
        <w:keepLines w:val="0"/>
        <w:pageBreakBefore w:val="0"/>
        <w:widowControl/>
        <w:kinsoku/>
        <w:wordWrap/>
        <w:overflowPunct/>
        <w:topLinePunct w:val="0"/>
        <w:autoSpaceDE/>
        <w:autoSpaceDN/>
        <w:bidi w:val="0"/>
        <w:adjustRightInd/>
        <w:snapToGrid/>
        <w:spacing w:before="0" w:after="0" w:line="560" w:lineRule="atLeast"/>
        <w:ind w:firstLine="723" w:firstLineChars="200"/>
        <w:jc w:val="center"/>
        <w:textAlignment w:val="auto"/>
        <w:rPr>
          <w:rFonts w:hint="eastAsia" w:ascii="方正小标宋简体" w:hAnsi="方正小标宋简体" w:eastAsia="方正小标宋简体" w:cs="方正小标宋简体"/>
          <w:b/>
          <w:bCs/>
          <w:color w:val="auto"/>
          <w:kern w:val="0"/>
          <w:sz w:val="36"/>
          <w:szCs w:val="36"/>
          <w:u w:val="none" w:color="auto"/>
        </w:rPr>
      </w:pPr>
      <w:r>
        <w:rPr>
          <w:rFonts w:hint="eastAsia" w:ascii="方正小标宋简体" w:hAnsi="方正小标宋简体" w:eastAsia="方正小标宋简体" w:cs="方正小标宋简体"/>
          <w:color w:val="auto"/>
          <w:kern w:val="0"/>
          <w:sz w:val="36"/>
          <w:szCs w:val="36"/>
          <w:u w:val="none" w:color="auto"/>
        </w:rPr>
        <w:t>第五部分 部门决算表</w:t>
      </w: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center"/>
        <w:textAlignment w:val="auto"/>
        <w:rPr>
          <w:rFonts w:hint="eastAsia" w:ascii="仿宋_GB2312" w:hAnsi="仿宋_GB2312" w:eastAsia="仿宋_GB2312" w:cs="仿宋_GB2312"/>
          <w:color w:val="auto"/>
          <w:kern w:val="0"/>
          <w:sz w:val="32"/>
          <w:szCs w:val="32"/>
          <w:u w:val="none" w:color="auto"/>
        </w:rPr>
      </w:pPr>
    </w:p>
    <w:p>
      <w:pPr>
        <w:keepNext w:val="0"/>
        <w:keepLines w:val="0"/>
        <w:pageBreakBefore w:val="0"/>
        <w:widowControl/>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kern w:val="0"/>
          <w:sz w:val="32"/>
          <w:szCs w:val="32"/>
          <w:u w:val="none" w:color="auto"/>
        </w:rPr>
      </w:pPr>
      <w:r>
        <w:rPr>
          <w:rFonts w:hint="eastAsia" w:ascii="仿宋_GB2312" w:hAnsi="仿宋_GB2312" w:eastAsia="仿宋_GB2312" w:cs="仿宋_GB2312"/>
          <w:color w:val="auto"/>
          <w:kern w:val="0"/>
          <w:sz w:val="32"/>
          <w:szCs w:val="32"/>
          <w:u w:val="none" w:color="auto"/>
        </w:rPr>
        <w:t>    见附件。</w:t>
      </w:r>
    </w:p>
    <w:p>
      <w:pPr>
        <w:widowControl/>
        <w:spacing w:before="240" w:after="240"/>
        <w:jc w:val="left"/>
        <w:rPr>
          <w:rFonts w:ascii="Times New Roman" w:hAnsi="Times New Roman" w:eastAsia="Times New Roman" w:cs="Times New Roman"/>
          <w:color w:val="auto"/>
          <w:kern w:val="0"/>
          <w:sz w:val="24"/>
          <w:u w:val="none" w:color="auto"/>
        </w:rPr>
      </w:pPr>
    </w:p>
    <w:p>
      <w:pPr>
        <w:widowControl/>
        <w:spacing w:before="240" w:after="240"/>
        <w:jc w:val="left"/>
        <w:rPr>
          <w:rFonts w:ascii="Times New Roman" w:hAnsi="Times New Roman" w:eastAsia="Times New Roman" w:cs="Times New Roman"/>
          <w:color w:val="auto"/>
          <w:kern w:val="0"/>
          <w:sz w:val="24"/>
          <w:u w:val="none" w:color="auto"/>
        </w:rPr>
      </w:pPr>
    </w:p>
    <w:p>
      <w:pPr>
        <w:widowControl/>
        <w:spacing w:before="240" w:after="240"/>
        <w:jc w:val="left"/>
        <w:rPr>
          <w:rFonts w:ascii="Times New Roman" w:hAnsi="Times New Roman" w:eastAsia="Times New Roman" w:cs="Times New Roman"/>
          <w:color w:val="auto"/>
          <w:kern w:val="0"/>
          <w:sz w:val="24"/>
          <w:u w:val="none" w:color="auto"/>
        </w:rPr>
      </w:pPr>
    </w:p>
    <w:p>
      <w:pPr>
        <w:widowControl/>
        <w:spacing w:before="240" w:after="240"/>
        <w:jc w:val="left"/>
        <w:rPr>
          <w:rFonts w:ascii="Times New Roman" w:hAnsi="Times New Roman" w:eastAsia="Times New Roman" w:cs="Times New Roman"/>
          <w:color w:val="auto"/>
          <w:kern w:val="0"/>
          <w:sz w:val="24"/>
          <w:u w:val="none" w:color="auto"/>
        </w:rPr>
      </w:pPr>
    </w:p>
    <w:bookmarkEnd w:id="0"/>
    <w:p>
      <w:pPr>
        <w:adjustRightInd w:val="0"/>
        <w:snapToGrid w:val="0"/>
        <w:rPr>
          <w:rFonts w:ascii="宋体" w:hAnsi="宋体"/>
          <w:b/>
          <w:color w:val="auto"/>
          <w:sz w:val="32"/>
          <w:szCs w:val="32"/>
          <w:u w:val="none" w:color="auto"/>
        </w:rPr>
      </w:pPr>
    </w:p>
    <w:p>
      <w:pPr>
        <w:adjustRightInd w:val="0"/>
        <w:snapToGrid w:val="0"/>
        <w:rPr>
          <w:rFonts w:ascii="宋体" w:hAnsi="宋体"/>
          <w:b/>
          <w:color w:val="auto"/>
          <w:sz w:val="32"/>
          <w:szCs w:val="32"/>
          <w:u w:val="none" w:color="auto"/>
        </w:rPr>
      </w:pPr>
    </w:p>
    <w:p>
      <w:pPr>
        <w:tabs>
          <w:tab w:val="left" w:pos="8415"/>
        </w:tabs>
        <w:rPr>
          <w:color w:val="auto"/>
          <w:u w:val="none" w:color="auto"/>
        </w:rPr>
      </w:pPr>
    </w:p>
    <w:sectPr>
      <w:footerReference r:id="rId3" w:type="default"/>
      <w:pgSz w:w="11906" w:h="16838"/>
      <w:pgMar w:top="2098" w:right="1531" w:bottom="1984" w:left="1587" w:header="0"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26</w:t>
    </w:r>
    <w:r>
      <w:rPr>
        <w:lang w:val="zh-CN"/>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8C396"/>
    <w:multiLevelType w:val="singleLevel"/>
    <w:tmpl w:val="8688C396"/>
    <w:lvl w:ilvl="0" w:tentative="0">
      <w:start w:val="1"/>
      <w:numFmt w:val="chineseCounting"/>
      <w:suff w:val="nothing"/>
      <w:lvlText w:val="（%1）"/>
      <w:lvlJc w:val="left"/>
      <w:rPr>
        <w:rFonts w:hint="eastAsia"/>
      </w:rPr>
    </w:lvl>
  </w:abstractNum>
  <w:abstractNum w:abstractNumId="1">
    <w:nsid w:val="C71A31FC"/>
    <w:multiLevelType w:val="singleLevel"/>
    <w:tmpl w:val="C71A31FC"/>
    <w:lvl w:ilvl="0" w:tentative="0">
      <w:start w:val="3"/>
      <w:numFmt w:val="chineseCounting"/>
      <w:suff w:val="space"/>
      <w:lvlText w:val="第%1部分"/>
      <w:lvlJc w:val="left"/>
      <w:rPr>
        <w:rFonts w:hint="eastAsia"/>
      </w:rPr>
    </w:lvl>
  </w:abstractNum>
  <w:abstractNum w:abstractNumId="2">
    <w:nsid w:val="DFC4A7AC"/>
    <w:multiLevelType w:val="singleLevel"/>
    <w:tmpl w:val="DFC4A7AC"/>
    <w:lvl w:ilvl="0" w:tentative="0">
      <w:start w:val="3"/>
      <w:numFmt w:val="chineseCounting"/>
      <w:suff w:val="nothing"/>
      <w:lvlText w:val="%1、"/>
      <w:lvlJc w:val="left"/>
      <w:rPr>
        <w:rFonts w:hint="eastAsia"/>
      </w:rPr>
    </w:lvl>
  </w:abstractNum>
  <w:abstractNum w:abstractNumId="3">
    <w:nsid w:val="F36E1175"/>
    <w:multiLevelType w:val="singleLevel"/>
    <w:tmpl w:val="F36E1175"/>
    <w:lvl w:ilvl="0" w:tentative="0">
      <w:start w:val="2"/>
      <w:numFmt w:val="chineseCounting"/>
      <w:suff w:val="space"/>
      <w:lvlText w:val="第%1部分"/>
      <w:lvlJc w:val="left"/>
      <w:rPr>
        <w:rFonts w:hint="eastAsia" w:ascii="方正小标宋简体" w:hAnsi="方正小标宋简体" w:eastAsia="方正小标宋简体" w:cs="方正小标宋简体"/>
        <w:sz w:val="36"/>
        <w:szCs w:val="36"/>
      </w:rPr>
    </w:lvl>
  </w:abstractNum>
  <w:abstractNum w:abstractNumId="4">
    <w:nsid w:val="2DB3D74D"/>
    <w:multiLevelType w:val="singleLevel"/>
    <w:tmpl w:val="2DB3D74D"/>
    <w:lvl w:ilvl="0" w:tentative="0">
      <w:start w:val="3"/>
      <w:numFmt w:val="chineseCounting"/>
      <w:suff w:val="nothing"/>
      <w:lvlText w:val="（%1）"/>
      <w:lvlJc w:val="left"/>
      <w:rPr>
        <w:rFonts w:hint="eastAsia"/>
      </w:rPr>
    </w:lvl>
  </w:abstractNum>
  <w:abstractNum w:abstractNumId="5">
    <w:nsid w:val="58ABE761"/>
    <w:multiLevelType w:val="singleLevel"/>
    <w:tmpl w:val="58ABE761"/>
    <w:lvl w:ilvl="0" w:tentative="0">
      <w:start w:val="1"/>
      <w:numFmt w:val="chineseCounting"/>
      <w:suff w:val="space"/>
      <w:lvlText w:val="第%1部分"/>
      <w:lvlJc w:val="left"/>
      <w:rPr>
        <w:rFonts w:hint="eastAsia" w:ascii="方正小标宋简体" w:hAnsi="方正小标宋简体" w:eastAsia="方正小标宋简体" w:cs="方正小标宋简体"/>
        <w:sz w:val="36"/>
        <w:szCs w:val="36"/>
      </w:rPr>
    </w:lvl>
  </w:abstractNum>
  <w:abstractNum w:abstractNumId="6">
    <w:nsid w:val="5BD9427A"/>
    <w:multiLevelType w:val="singleLevel"/>
    <w:tmpl w:val="5BD9427A"/>
    <w:lvl w:ilvl="0" w:tentative="0">
      <w:start w:val="12"/>
      <w:numFmt w:val="chineseCounting"/>
      <w:suff w:val="nothing"/>
      <w:lvlText w:val="%1、"/>
      <w:lvlJc w:val="left"/>
      <w:rPr>
        <w:rFonts w:hint="eastAsia"/>
      </w:r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32139"/>
    <w:rsid w:val="00D96390"/>
    <w:rsid w:val="00E219E7"/>
    <w:rsid w:val="00E60D6A"/>
    <w:rsid w:val="00E73321"/>
    <w:rsid w:val="00E77EC0"/>
    <w:rsid w:val="00E914C1"/>
    <w:rsid w:val="00E97C37"/>
    <w:rsid w:val="00EE533B"/>
    <w:rsid w:val="00F04882"/>
    <w:rsid w:val="00F63327"/>
    <w:rsid w:val="00F80A29"/>
    <w:rsid w:val="00FA7CA5"/>
    <w:rsid w:val="00FD08EC"/>
    <w:rsid w:val="00FD7690"/>
    <w:rsid w:val="010F553F"/>
    <w:rsid w:val="01AB446A"/>
    <w:rsid w:val="02B9457E"/>
    <w:rsid w:val="0301361C"/>
    <w:rsid w:val="06C016CF"/>
    <w:rsid w:val="076650AD"/>
    <w:rsid w:val="0B0D44D7"/>
    <w:rsid w:val="0B1F1C80"/>
    <w:rsid w:val="0B75477A"/>
    <w:rsid w:val="0BBF197C"/>
    <w:rsid w:val="0BF87675"/>
    <w:rsid w:val="0C1771EC"/>
    <w:rsid w:val="0C3A7178"/>
    <w:rsid w:val="0C7C418F"/>
    <w:rsid w:val="0EC24124"/>
    <w:rsid w:val="0FAC60A4"/>
    <w:rsid w:val="109B7A85"/>
    <w:rsid w:val="11D111B0"/>
    <w:rsid w:val="152C0FBD"/>
    <w:rsid w:val="15384155"/>
    <w:rsid w:val="15F95EC8"/>
    <w:rsid w:val="18D61525"/>
    <w:rsid w:val="196F0CD1"/>
    <w:rsid w:val="1A8B1C57"/>
    <w:rsid w:val="1B0E24FF"/>
    <w:rsid w:val="1EC34571"/>
    <w:rsid w:val="1EF153F9"/>
    <w:rsid w:val="1F330683"/>
    <w:rsid w:val="1F8541FB"/>
    <w:rsid w:val="1FFB6B13"/>
    <w:rsid w:val="21F52068"/>
    <w:rsid w:val="23213BB3"/>
    <w:rsid w:val="23CA1381"/>
    <w:rsid w:val="23F90462"/>
    <w:rsid w:val="278B1E78"/>
    <w:rsid w:val="27915314"/>
    <w:rsid w:val="27920A27"/>
    <w:rsid w:val="27FF5C6D"/>
    <w:rsid w:val="28103A97"/>
    <w:rsid w:val="28BA7014"/>
    <w:rsid w:val="28FD3667"/>
    <w:rsid w:val="2A7B7660"/>
    <w:rsid w:val="2CDD54D9"/>
    <w:rsid w:val="2E4D05D1"/>
    <w:rsid w:val="2E5465F8"/>
    <w:rsid w:val="2F12757C"/>
    <w:rsid w:val="3044101E"/>
    <w:rsid w:val="329654C5"/>
    <w:rsid w:val="351D18FC"/>
    <w:rsid w:val="36183502"/>
    <w:rsid w:val="369370B6"/>
    <w:rsid w:val="369C23EC"/>
    <w:rsid w:val="36EB2CA1"/>
    <w:rsid w:val="37400E12"/>
    <w:rsid w:val="39677CC5"/>
    <w:rsid w:val="39BB5C8D"/>
    <w:rsid w:val="3AD04A73"/>
    <w:rsid w:val="3E160ABF"/>
    <w:rsid w:val="3EEF3398"/>
    <w:rsid w:val="40725140"/>
    <w:rsid w:val="41850CE8"/>
    <w:rsid w:val="418E79AC"/>
    <w:rsid w:val="429F6D79"/>
    <w:rsid w:val="43DA5CE5"/>
    <w:rsid w:val="4630799B"/>
    <w:rsid w:val="47F36517"/>
    <w:rsid w:val="48320F3D"/>
    <w:rsid w:val="48952158"/>
    <w:rsid w:val="4A512B24"/>
    <w:rsid w:val="4A802520"/>
    <w:rsid w:val="4E2738DE"/>
    <w:rsid w:val="4EB50C67"/>
    <w:rsid w:val="4FFA0655"/>
    <w:rsid w:val="51CD438B"/>
    <w:rsid w:val="526F45EA"/>
    <w:rsid w:val="53360084"/>
    <w:rsid w:val="54A059B8"/>
    <w:rsid w:val="56204DB6"/>
    <w:rsid w:val="57BA2BBA"/>
    <w:rsid w:val="58C84239"/>
    <w:rsid w:val="58E368D7"/>
    <w:rsid w:val="593B646F"/>
    <w:rsid w:val="59617D35"/>
    <w:rsid w:val="5A6E13BE"/>
    <w:rsid w:val="5B9E29D7"/>
    <w:rsid w:val="5C441EFA"/>
    <w:rsid w:val="5DB45008"/>
    <w:rsid w:val="5E021A74"/>
    <w:rsid w:val="5E304571"/>
    <w:rsid w:val="5E7715E7"/>
    <w:rsid w:val="5EE83A6A"/>
    <w:rsid w:val="60034C8F"/>
    <w:rsid w:val="622176CB"/>
    <w:rsid w:val="62567AAE"/>
    <w:rsid w:val="625B231C"/>
    <w:rsid w:val="667D737C"/>
    <w:rsid w:val="678A2955"/>
    <w:rsid w:val="6ABF62F9"/>
    <w:rsid w:val="6B353441"/>
    <w:rsid w:val="6C97421C"/>
    <w:rsid w:val="6D354DB0"/>
    <w:rsid w:val="6D93141D"/>
    <w:rsid w:val="6E95615F"/>
    <w:rsid w:val="6EE14443"/>
    <w:rsid w:val="6F356308"/>
    <w:rsid w:val="6FBC2F21"/>
    <w:rsid w:val="700E0130"/>
    <w:rsid w:val="707B551F"/>
    <w:rsid w:val="70F31CED"/>
    <w:rsid w:val="727442DD"/>
    <w:rsid w:val="74514C90"/>
    <w:rsid w:val="751D7874"/>
    <w:rsid w:val="756645D8"/>
    <w:rsid w:val="77E04D5D"/>
    <w:rsid w:val="780B3D46"/>
    <w:rsid w:val="780C2FB1"/>
    <w:rsid w:val="7C5C2421"/>
    <w:rsid w:val="7CE26AE2"/>
    <w:rsid w:val="7D197F5B"/>
    <w:rsid w:val="7EAC0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paragraph" w:styleId="7">
    <w:name w:val="heading 4"/>
    <w:basedOn w:val="1"/>
    <w:next w:val="1"/>
    <w:link w:val="27"/>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spacing w:after="120"/>
      <w:ind w:left="420" w:leftChars="200"/>
      <w:jc w:val="left"/>
    </w:pPr>
    <w:rPr>
      <w:rFonts w:hint="eastAsia" w:ascii="宋体" w:hAnsi="宋体" w:eastAsia="宋体"/>
      <w:kern w:val="0"/>
      <w:sz w:val="24"/>
      <w:szCs w:val="24"/>
    </w:rPr>
  </w:style>
  <w:style w:type="paragraph" w:styleId="8">
    <w:name w:val="toc 7"/>
    <w:basedOn w:val="1"/>
    <w:next w:val="1"/>
    <w:qFormat/>
    <w:uiPriority w:val="0"/>
    <w:pPr>
      <w:ind w:left="1260"/>
      <w:jc w:val="left"/>
    </w:pPr>
    <w:rPr>
      <w:sz w:val="20"/>
      <w:szCs w:val="20"/>
    </w:rPr>
  </w:style>
  <w:style w:type="paragraph" w:styleId="9">
    <w:name w:val="Normal Indent"/>
    <w:basedOn w:val="1"/>
    <w:next w:val="1"/>
    <w:qFormat/>
    <w:uiPriority w:val="0"/>
    <w:pPr>
      <w:ind w:firstLine="420" w:firstLineChars="200"/>
    </w:pPr>
  </w:style>
  <w:style w:type="paragraph" w:styleId="10">
    <w:name w:val="Document Map"/>
    <w:basedOn w:val="1"/>
    <w:qFormat/>
    <w:uiPriority w:val="0"/>
    <w:pPr>
      <w:shd w:val="clear" w:color="auto" w:fill="000080"/>
    </w:pPr>
  </w:style>
  <w:style w:type="paragraph" w:styleId="11">
    <w:name w:val="Body Text"/>
    <w:basedOn w:val="1"/>
    <w:next w:val="9"/>
    <w:unhideWhenUsed/>
    <w:qFormat/>
    <w:uiPriority w:val="99"/>
    <w:pPr>
      <w:spacing w:after="120"/>
    </w:pPr>
  </w:style>
  <w:style w:type="paragraph" w:styleId="12">
    <w:name w:val="toc 5"/>
    <w:basedOn w:val="1"/>
    <w:next w:val="1"/>
    <w:qFormat/>
    <w:uiPriority w:val="0"/>
    <w:pPr>
      <w:ind w:left="840"/>
      <w:jc w:val="left"/>
    </w:pPr>
    <w:rPr>
      <w:sz w:val="20"/>
      <w:szCs w:val="20"/>
    </w:rPr>
  </w:style>
  <w:style w:type="paragraph" w:styleId="13">
    <w:name w:val="toc 3"/>
    <w:basedOn w:val="1"/>
    <w:next w:val="1"/>
    <w:qFormat/>
    <w:uiPriority w:val="0"/>
    <w:pPr>
      <w:adjustRightInd w:val="0"/>
      <w:snapToGrid w:val="0"/>
      <w:spacing w:line="360" w:lineRule="auto"/>
      <w:ind w:firstLine="400" w:firstLineChars="400"/>
      <w:jc w:val="left"/>
    </w:pPr>
    <w:rPr>
      <w:sz w:val="24"/>
      <w:szCs w:val="20"/>
    </w:rPr>
  </w:style>
  <w:style w:type="paragraph" w:styleId="14">
    <w:name w:val="toc 8"/>
    <w:basedOn w:val="1"/>
    <w:next w:val="1"/>
    <w:qFormat/>
    <w:uiPriority w:val="0"/>
    <w:pPr>
      <w:ind w:left="1470"/>
      <w:jc w:val="left"/>
    </w:pPr>
    <w:rPr>
      <w:sz w:val="20"/>
      <w:szCs w:val="20"/>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snapToGrid w:val="0"/>
      <w:spacing w:line="360" w:lineRule="auto"/>
      <w:jc w:val="left"/>
    </w:pPr>
    <w:rPr>
      <w:b/>
      <w:bCs/>
      <w:sz w:val="24"/>
      <w:szCs w:val="20"/>
    </w:rPr>
  </w:style>
  <w:style w:type="paragraph" w:styleId="18">
    <w:name w:val="toc 4"/>
    <w:basedOn w:val="1"/>
    <w:next w:val="1"/>
    <w:qFormat/>
    <w:uiPriority w:val="0"/>
    <w:pPr>
      <w:ind w:left="630"/>
      <w:jc w:val="left"/>
    </w:pPr>
    <w:rPr>
      <w:sz w:val="20"/>
      <w:szCs w:val="20"/>
    </w:rPr>
  </w:style>
  <w:style w:type="paragraph" w:styleId="19">
    <w:name w:val="toc 6"/>
    <w:basedOn w:val="1"/>
    <w:next w:val="1"/>
    <w:qFormat/>
    <w:uiPriority w:val="0"/>
    <w:pPr>
      <w:ind w:left="1050"/>
      <w:jc w:val="left"/>
    </w:pPr>
    <w:rPr>
      <w:sz w:val="20"/>
      <w:szCs w:val="20"/>
    </w:rPr>
  </w:style>
  <w:style w:type="paragraph" w:styleId="20">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1">
    <w:name w:val="toc 9"/>
    <w:basedOn w:val="1"/>
    <w:next w:val="1"/>
    <w:qFormat/>
    <w:uiPriority w:val="0"/>
    <w:pPr>
      <w:ind w:left="1680"/>
      <w:jc w:val="left"/>
    </w:pPr>
    <w:rPr>
      <w:sz w:val="20"/>
      <w:szCs w:val="20"/>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customStyle="1" w:styleId="27">
    <w:name w:val="标题 4 字符"/>
    <w:basedOn w:val="24"/>
    <w:link w:val="7"/>
    <w:qFormat/>
    <w:uiPriority w:val="0"/>
    <w:rPr>
      <w:rFonts w:ascii="Cambria" w:hAnsi="Cambria"/>
      <w:b/>
      <w:bCs/>
      <w:kern w:val="2"/>
      <w:sz w:val="28"/>
      <w:szCs w:val="28"/>
    </w:rPr>
  </w:style>
  <w:style w:type="paragraph" w:styleId="28">
    <w:name w:val="No Spacing"/>
    <w:link w:val="29"/>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9">
    <w:name w:val="无间隔 字符"/>
    <w:link w:val="28"/>
    <w:qFormat/>
    <w:locked/>
    <w:uiPriority w:val="0"/>
    <w:rPr>
      <w:rFonts w:eastAsia="仿宋_GB2312"/>
      <w:sz w:val="30"/>
      <w:szCs w:val="22"/>
      <w:lang w:bidi="ar-SA"/>
    </w:rPr>
  </w:style>
  <w:style w:type="character" w:customStyle="1" w:styleId="30">
    <w:name w:val="页脚 字符"/>
    <w:basedOn w:val="24"/>
    <w:link w:val="15"/>
    <w:qFormat/>
    <w:uiPriority w:val="0"/>
    <w:rPr>
      <w:kern w:val="2"/>
      <w:sz w:val="18"/>
      <w:szCs w:val="18"/>
    </w:rPr>
  </w:style>
  <w:style w:type="paragraph" w:styleId="31">
    <w:name w:val="List Paragraph"/>
    <w:basedOn w:val="1"/>
    <w:qFormat/>
    <w:uiPriority w:val="0"/>
    <w:pPr>
      <w:ind w:firstLine="420" w:firstLineChars="200"/>
    </w:pPr>
  </w:style>
  <w:style w:type="character" w:customStyle="1" w:styleId="32">
    <w:name w:val="标题 3 字符"/>
    <w:basedOn w:val="24"/>
    <w:link w:val="6"/>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599</Words>
  <Characters>612</Characters>
  <Lines>1</Lines>
  <Paragraphs>1</Paragraphs>
  <TotalTime>1</TotalTime>
  <ScaleCrop>false</ScaleCrop>
  <LinksUpToDate>false</LinksUpToDate>
  <CharactersWithSpaces>630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2025-07-17T08:35:26Z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2052-11.1.0.11115</vt:lpwstr>
  </property>
  <property fmtid="{D5CDD505-2E9C-101B-9397-08002B2CF9AE}" pid="4" name="KSOTemplateDocerSaveRecord">
    <vt:lpwstr>eyJoZGlkIjoiYjRlZmMyNTZmMTczZTAwZmRhOTI3MTkyNTc3NGFkNWIiLCJ1c2VySWQiOiIyMTE0ODQ4NjcifQ==</vt:lpwstr>
  </property>
</Properties>
</file>